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62D" w:rsidRPr="00BA662D" w:rsidRDefault="00BA662D" w:rsidP="000C1A3F">
      <w:pPr>
        <w:pStyle w:val="Heading1"/>
      </w:pPr>
      <w:r w:rsidRPr="00BA662D">
        <w:t xml:space="preserve">Roles and responsibilities of </w:t>
      </w:r>
      <w:r w:rsidRPr="00BA662D">
        <w:br/>
        <w:t>the shared care clinical team</w:t>
      </w:r>
    </w:p>
    <w:p w:rsidR="007B1210" w:rsidRPr="0035227C" w:rsidRDefault="0035227C" w:rsidP="00BA662D">
      <w:pPr>
        <w:pStyle w:val="Subtitle"/>
      </w:pPr>
      <w:r w:rsidRPr="0035227C">
        <w:t>Shared follow-up care</w:t>
      </w:r>
    </w:p>
    <w:p w:rsidR="0012161F" w:rsidRPr="001403C0" w:rsidRDefault="0035227C" w:rsidP="0035227C">
      <w:pPr>
        <w:pStyle w:val="Figure"/>
        <w:spacing w:before="4000"/>
        <w:jc w:val="center"/>
      </w:pPr>
      <w:bookmarkStart w:id="0" w:name="_GoBack"/>
      <w:r w:rsidRPr="00A95EC7">
        <w:rPr>
          <w:noProof/>
        </w:rPr>
        <w:drawing>
          <wp:inline distT="0" distB="0" distL="0" distR="0" wp14:anchorId="33B66D18" wp14:editId="78840D81">
            <wp:extent cx="1280160" cy="838200"/>
            <wp:effectExtent l="0" t="0" r="0" b="0"/>
            <wp:docPr id="1" name="Picture 1" descr="Australian Government Coat of Arms - Cancer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YK_Cancer Australia red stacked-smal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0160" cy="838200"/>
                    </a:xfrm>
                    <a:prstGeom prst="rect">
                      <a:avLst/>
                    </a:prstGeom>
                  </pic:spPr>
                </pic:pic>
              </a:graphicData>
            </a:graphic>
          </wp:inline>
        </w:drawing>
      </w:r>
      <w:bookmarkEnd w:id="0"/>
    </w:p>
    <w:p w:rsidR="001725DC" w:rsidRPr="001403C0" w:rsidRDefault="001725DC" w:rsidP="0012161F">
      <w:pPr>
        <w:sectPr w:rsidR="001725DC" w:rsidRPr="001403C0" w:rsidSect="0005266B">
          <w:footerReference w:type="default" r:id="rId10"/>
          <w:pgSz w:w="11906" w:h="16838" w:code="9"/>
          <w:pgMar w:top="1418" w:right="1418" w:bottom="1418" w:left="1418" w:header="1418" w:footer="1418" w:gutter="0"/>
          <w:cols w:space="708"/>
          <w:docGrid w:linePitch="360"/>
        </w:sectPr>
      </w:pPr>
    </w:p>
    <w:p w:rsidR="00FF44CE" w:rsidRPr="00FF44CE" w:rsidRDefault="00FF44CE" w:rsidP="00FF44CE">
      <w:pPr>
        <w:rPr>
          <w:szCs w:val="20"/>
          <w:lang w:val="en-US"/>
        </w:rPr>
      </w:pPr>
      <w:r w:rsidRPr="00FF44CE">
        <w:rPr>
          <w:szCs w:val="20"/>
          <w:lang w:val="en-US"/>
        </w:rPr>
        <w:lastRenderedPageBreak/>
        <w:t>Shared follow-up care for early breast cancer is designed for patients who have completed treatment for early breast cancer or ductal carcinoma in situ (DCIS).</w:t>
      </w:r>
    </w:p>
    <w:p w:rsidR="00FF44CE" w:rsidRPr="00FF44CE" w:rsidRDefault="00FF44CE" w:rsidP="00FF44CE">
      <w:pPr>
        <w:rPr>
          <w:szCs w:val="20"/>
          <w:lang w:val="en-US"/>
        </w:rPr>
      </w:pPr>
      <w:r w:rsidRPr="00FF44CE">
        <w:rPr>
          <w:szCs w:val="20"/>
          <w:lang w:val="en-US"/>
        </w:rPr>
        <w:t>Cancer Australia is evaluating the delivery of shared follow-up care in line with best practice recommendations between primary and specialist clinicians for the follow-up of patients from three months after completion of hospital-based therapy for early breast cancer.</w:t>
      </w:r>
    </w:p>
    <w:p w:rsidR="00FF44CE" w:rsidRPr="00FF44CE" w:rsidRDefault="00FF44CE" w:rsidP="00FF44CE">
      <w:pPr>
        <w:rPr>
          <w:szCs w:val="20"/>
          <w:lang w:val="en-US"/>
        </w:rPr>
      </w:pPr>
      <w:r w:rsidRPr="00FF44CE">
        <w:rPr>
          <w:szCs w:val="20"/>
          <w:lang w:val="en-US"/>
        </w:rPr>
        <w:t>A Shared Care Plan has been developed to support a joint approach between the specialist and the General Practitioner (GP) for the delivery of shared care.</w:t>
      </w:r>
    </w:p>
    <w:p w:rsidR="00FF44CE" w:rsidRPr="00FF44CE" w:rsidRDefault="00FF44CE" w:rsidP="00FF44CE">
      <w:pPr>
        <w:rPr>
          <w:szCs w:val="20"/>
          <w:lang w:val="en-US"/>
        </w:rPr>
      </w:pPr>
      <w:r w:rsidRPr="00FF44CE">
        <w:rPr>
          <w:szCs w:val="20"/>
          <w:lang w:val="en-US"/>
        </w:rPr>
        <w:t>To ensure that safe and effective care is delivered according to best practice standards, it is essential that the roles and responsibilities of each member of the shared care clinical team are discussed and agreed prior to commencing shared care.</w:t>
      </w:r>
    </w:p>
    <w:p w:rsidR="00FF44CE" w:rsidRPr="00FF44CE" w:rsidRDefault="00FF44CE" w:rsidP="00FF44CE">
      <w:pPr>
        <w:rPr>
          <w:rFonts w:cs="Tahoma"/>
          <w:b/>
          <w:bCs/>
          <w:szCs w:val="20"/>
          <w:lang w:val="en-US"/>
        </w:rPr>
      </w:pPr>
      <w:r w:rsidRPr="00FF44CE">
        <w:rPr>
          <w:rFonts w:cs="Tahoma"/>
          <w:b/>
          <w:bCs/>
          <w:szCs w:val="20"/>
          <w:lang w:val="en-US"/>
        </w:rPr>
        <w:t>Role of the specialist</w:t>
      </w:r>
    </w:p>
    <w:p w:rsidR="00FF44CE" w:rsidRPr="00FF44CE" w:rsidRDefault="00FF44CE" w:rsidP="00FF44CE">
      <w:pPr>
        <w:rPr>
          <w:szCs w:val="20"/>
          <w:lang w:val="en-US"/>
        </w:rPr>
      </w:pPr>
      <w:r w:rsidRPr="00FF44CE">
        <w:rPr>
          <w:szCs w:val="20"/>
          <w:lang w:val="en-US"/>
        </w:rPr>
        <w:t>The specialist or their delegate (including the registrar or breast care nurse) will usually initiate discussion with the patient about shared care.</w:t>
      </w:r>
    </w:p>
    <w:p w:rsidR="00FF44CE" w:rsidRPr="00FF44CE" w:rsidRDefault="00FF44CE" w:rsidP="00FF44CE">
      <w:pPr>
        <w:rPr>
          <w:szCs w:val="20"/>
          <w:lang w:val="en-US"/>
        </w:rPr>
      </w:pPr>
      <w:r w:rsidRPr="00FF44CE">
        <w:rPr>
          <w:szCs w:val="20"/>
          <w:lang w:val="en-US"/>
        </w:rPr>
        <w:t>Alternatively, the specialist may continue discussions which have been initiated by the GP, patient or nurse. The breast care nurse plays an important coordinating role in the shared care clinical team.</w:t>
      </w:r>
    </w:p>
    <w:p w:rsidR="00FF44CE" w:rsidRPr="00FF44CE" w:rsidRDefault="00FF44CE" w:rsidP="00FF44CE">
      <w:pPr>
        <w:pStyle w:val="Heading2"/>
        <w:rPr>
          <w:lang w:val="en-US"/>
        </w:rPr>
      </w:pPr>
      <w:r w:rsidRPr="00FF44CE">
        <w:rPr>
          <w:lang w:val="en-US"/>
        </w:rPr>
        <w:t>Commencement of shared care</w:t>
      </w:r>
    </w:p>
    <w:p w:rsidR="00FF44CE" w:rsidRPr="00FF44CE" w:rsidRDefault="00FF44CE" w:rsidP="00FF44CE">
      <w:pPr>
        <w:rPr>
          <w:szCs w:val="20"/>
          <w:lang w:val="en-US"/>
        </w:rPr>
      </w:pPr>
      <w:r w:rsidRPr="00FF44CE">
        <w:rPr>
          <w:szCs w:val="20"/>
          <w:lang w:val="en-US"/>
        </w:rPr>
        <w:t>At the commencement of shared care it is the responsibility of the specialist to:</w:t>
      </w:r>
    </w:p>
    <w:p w:rsidR="00FF44CE" w:rsidRPr="00FF44CE" w:rsidRDefault="00FF44CE" w:rsidP="00FF44CE">
      <w:pPr>
        <w:pStyle w:val="ListBullet"/>
        <w:rPr>
          <w:lang w:val="en-US"/>
        </w:rPr>
      </w:pPr>
      <w:r w:rsidRPr="00FF44CE">
        <w:rPr>
          <w:lang w:val="en-US"/>
        </w:rPr>
        <w:t>agree that the patient is suitable for shared care</w:t>
      </w:r>
    </w:p>
    <w:p w:rsidR="00FF44CE" w:rsidRPr="00FF44CE" w:rsidRDefault="00FF44CE" w:rsidP="00FF44CE">
      <w:pPr>
        <w:pStyle w:val="ListBullet"/>
        <w:rPr>
          <w:lang w:val="en-US"/>
        </w:rPr>
      </w:pPr>
      <w:r w:rsidRPr="00FF44CE">
        <w:rPr>
          <w:lang w:val="en-US"/>
        </w:rPr>
        <w:t>initiate communication with the patient's GP</w:t>
      </w:r>
    </w:p>
    <w:p w:rsidR="00FF44CE" w:rsidRPr="00FF44CE" w:rsidRDefault="00FF44CE" w:rsidP="00FF44CE">
      <w:pPr>
        <w:pStyle w:val="ListBullet"/>
        <w:rPr>
          <w:lang w:val="en-US"/>
        </w:rPr>
      </w:pPr>
      <w:r w:rsidRPr="00FF44CE">
        <w:rPr>
          <w:lang w:val="en-US"/>
        </w:rPr>
        <w:t>collaboratively develop the Shared Care Plan with the patient's GP and the patient</w:t>
      </w:r>
    </w:p>
    <w:p w:rsidR="00FF44CE" w:rsidRPr="00FF44CE" w:rsidRDefault="00FF44CE" w:rsidP="00FF44CE">
      <w:pPr>
        <w:pStyle w:val="ListBullet"/>
        <w:rPr>
          <w:lang w:val="en-US"/>
        </w:rPr>
      </w:pPr>
      <w:proofErr w:type="gramStart"/>
      <w:r w:rsidRPr="00FF44CE">
        <w:rPr>
          <w:lang w:val="en-US"/>
        </w:rPr>
        <w:t>ensure</w:t>
      </w:r>
      <w:proofErr w:type="gramEnd"/>
      <w:r w:rsidRPr="00FF44CE">
        <w:rPr>
          <w:lang w:val="en-US"/>
        </w:rPr>
        <w:t xml:space="preserve"> that all parties have signed the Shared Care Plan.</w:t>
      </w:r>
    </w:p>
    <w:p w:rsidR="00FF44CE" w:rsidRPr="00FF44CE" w:rsidRDefault="00FF44CE" w:rsidP="00FF44CE">
      <w:pPr>
        <w:pStyle w:val="Heading2"/>
        <w:rPr>
          <w:lang w:val="en-US"/>
        </w:rPr>
      </w:pPr>
      <w:r w:rsidRPr="00FF44CE">
        <w:rPr>
          <w:lang w:val="en-US"/>
        </w:rPr>
        <w:t>Communication with the GP</w:t>
      </w:r>
    </w:p>
    <w:p w:rsidR="00FF44CE" w:rsidRPr="00FF44CE" w:rsidRDefault="00FF44CE" w:rsidP="00FF44CE">
      <w:pPr>
        <w:rPr>
          <w:szCs w:val="20"/>
          <w:lang w:val="en-US"/>
        </w:rPr>
      </w:pPr>
      <w:r w:rsidRPr="00FF44CE">
        <w:rPr>
          <w:szCs w:val="20"/>
          <w:lang w:val="en-US"/>
        </w:rPr>
        <w:t>Care of the patient requires coordination through timely and effective communication. It is the responsibility of the specialist to:</w:t>
      </w:r>
    </w:p>
    <w:p w:rsidR="00FF44CE" w:rsidRPr="00FF44CE" w:rsidRDefault="00FF44CE" w:rsidP="00FF44CE">
      <w:pPr>
        <w:pStyle w:val="ListBullet"/>
        <w:rPr>
          <w:lang w:val="en-US"/>
        </w:rPr>
      </w:pPr>
      <w:r w:rsidRPr="00FF44CE">
        <w:rPr>
          <w:lang w:val="en-US"/>
        </w:rPr>
        <w:t>provide the GP with a detailed treatment summary by completing the Shared Care Plan (Part A) and including the histopathology report and key results</w:t>
      </w:r>
    </w:p>
    <w:p w:rsidR="00FF44CE" w:rsidRPr="00FF44CE" w:rsidRDefault="00FF44CE" w:rsidP="00FF44CE">
      <w:pPr>
        <w:pStyle w:val="ListBullet"/>
        <w:rPr>
          <w:lang w:val="en-US"/>
        </w:rPr>
      </w:pPr>
      <w:r w:rsidRPr="00FF44CE">
        <w:rPr>
          <w:lang w:val="en-US"/>
        </w:rPr>
        <w:t>record any follow-up care and results provided by the specialist team on the Shared Care Plan; an update of any follow-up care and results in relation to each follow-up visit should be sent to the GP, noting any significant change in the patient's medical status</w:t>
      </w:r>
    </w:p>
    <w:p w:rsidR="00FF44CE" w:rsidRPr="00FF44CE" w:rsidRDefault="00FF44CE" w:rsidP="00FF44CE">
      <w:pPr>
        <w:pStyle w:val="ListBullet"/>
        <w:rPr>
          <w:lang w:val="en-US"/>
        </w:rPr>
      </w:pPr>
      <w:r w:rsidRPr="00FF44CE">
        <w:rPr>
          <w:lang w:val="en-US"/>
        </w:rPr>
        <w:t>agree to be available to provide specialist consultation or advice as required by the GP, according to the urgency of the GP's request; the Rapid Access Request has been developed to support this process</w:t>
      </w:r>
    </w:p>
    <w:p w:rsidR="00FF44CE" w:rsidRPr="00FF44CE" w:rsidRDefault="00FF44CE" w:rsidP="00FF44CE">
      <w:pPr>
        <w:pStyle w:val="ListBullet"/>
        <w:rPr>
          <w:lang w:val="en-US"/>
        </w:rPr>
      </w:pPr>
      <w:proofErr w:type="gramStart"/>
      <w:r w:rsidRPr="00FF44CE">
        <w:rPr>
          <w:lang w:val="en-US"/>
        </w:rPr>
        <w:lastRenderedPageBreak/>
        <w:t>alert</w:t>
      </w:r>
      <w:proofErr w:type="gramEnd"/>
      <w:r w:rsidRPr="00FF44CE">
        <w:rPr>
          <w:lang w:val="en-US"/>
        </w:rPr>
        <w:t xml:space="preserve"> the GP to new treatments, potentially relevant to a particular patient, which may require a specialist consultation.</w:t>
      </w:r>
    </w:p>
    <w:p w:rsidR="00FF44CE" w:rsidRPr="00FF44CE" w:rsidRDefault="00FF44CE" w:rsidP="00FF44CE">
      <w:pPr>
        <w:pStyle w:val="Heading2"/>
        <w:rPr>
          <w:lang w:val="en-US"/>
        </w:rPr>
      </w:pPr>
      <w:r w:rsidRPr="00FF44CE">
        <w:rPr>
          <w:lang w:val="en-US"/>
        </w:rPr>
        <w:t>Purpose of follow-up after early breast cancer</w:t>
      </w:r>
    </w:p>
    <w:p w:rsidR="00FF44CE" w:rsidRPr="00FF44CE" w:rsidRDefault="00FF44CE" w:rsidP="00FF44CE">
      <w:pPr>
        <w:rPr>
          <w:szCs w:val="20"/>
          <w:lang w:val="en-US"/>
        </w:rPr>
      </w:pPr>
      <w:r w:rsidRPr="00FF44CE">
        <w:rPr>
          <w:szCs w:val="20"/>
          <w:lang w:val="en-US"/>
        </w:rPr>
        <w:t>The purpose of follow-up care after treatment for early breast cancer includes:</w:t>
      </w:r>
    </w:p>
    <w:p w:rsidR="00FF44CE" w:rsidRPr="00FF44CE" w:rsidRDefault="00FF44CE" w:rsidP="00FF44CE">
      <w:pPr>
        <w:pStyle w:val="ListBullet"/>
        <w:rPr>
          <w:lang w:val="en-US"/>
        </w:rPr>
      </w:pPr>
      <w:r w:rsidRPr="00FF44CE">
        <w:rPr>
          <w:lang w:val="en-US"/>
        </w:rPr>
        <w:t>early detection of local, regional or distant recurrence</w:t>
      </w:r>
    </w:p>
    <w:p w:rsidR="00FF44CE" w:rsidRPr="00FF44CE" w:rsidRDefault="00FF44CE" w:rsidP="00FF44CE">
      <w:pPr>
        <w:pStyle w:val="ListBullet"/>
        <w:rPr>
          <w:lang w:val="en-US"/>
        </w:rPr>
      </w:pPr>
      <w:r w:rsidRPr="00FF44CE">
        <w:rPr>
          <w:lang w:val="en-US"/>
        </w:rPr>
        <w:t>screening for a new primary breast cancer (in the ipsilateral or contralateral breast)</w:t>
      </w:r>
    </w:p>
    <w:p w:rsidR="00FF44CE" w:rsidRPr="00FF44CE" w:rsidRDefault="00FF44CE" w:rsidP="00FF44CE">
      <w:pPr>
        <w:pStyle w:val="ListBullet"/>
        <w:rPr>
          <w:lang w:val="en-US"/>
        </w:rPr>
      </w:pPr>
      <w:r w:rsidRPr="00FF44CE">
        <w:rPr>
          <w:lang w:val="en-US"/>
        </w:rPr>
        <w:t>detection and management of psychosocial distress, anxiety or depression</w:t>
      </w:r>
    </w:p>
    <w:p w:rsidR="00FF44CE" w:rsidRPr="00FF44CE" w:rsidRDefault="00FF44CE" w:rsidP="00FF44CE">
      <w:pPr>
        <w:pStyle w:val="ListBullet"/>
        <w:rPr>
          <w:lang w:val="en-US"/>
        </w:rPr>
      </w:pPr>
      <w:r w:rsidRPr="00FF44CE">
        <w:rPr>
          <w:lang w:val="en-US"/>
        </w:rPr>
        <w:t>detection and management of treatment-related side effects</w:t>
      </w:r>
    </w:p>
    <w:p w:rsidR="00FF44CE" w:rsidRPr="00FF44CE" w:rsidRDefault="00FF44CE" w:rsidP="00FF44CE">
      <w:pPr>
        <w:pStyle w:val="ListBullet"/>
        <w:rPr>
          <w:lang w:val="en-US"/>
        </w:rPr>
      </w:pPr>
      <w:r w:rsidRPr="00FF44CE">
        <w:rPr>
          <w:lang w:val="en-US"/>
        </w:rPr>
        <w:t>reviewing and updating family history information</w:t>
      </w:r>
    </w:p>
    <w:p w:rsidR="00FF44CE" w:rsidRPr="00FF44CE" w:rsidRDefault="00FF44CE" w:rsidP="00FF44CE">
      <w:pPr>
        <w:pStyle w:val="ListBullet"/>
        <w:rPr>
          <w:lang w:val="en-US"/>
        </w:rPr>
      </w:pPr>
      <w:r w:rsidRPr="00FF44CE">
        <w:rPr>
          <w:lang w:val="en-US"/>
        </w:rPr>
        <w:t>observation of outcomes of therapy</w:t>
      </w:r>
    </w:p>
    <w:p w:rsidR="00FF44CE" w:rsidRPr="00FF44CE" w:rsidRDefault="00FF44CE" w:rsidP="00FF44CE">
      <w:pPr>
        <w:pStyle w:val="ListBullet"/>
        <w:rPr>
          <w:lang w:val="en-US"/>
        </w:rPr>
      </w:pPr>
      <w:proofErr w:type="gramStart"/>
      <w:r w:rsidRPr="00FF44CE">
        <w:rPr>
          <w:lang w:val="en-US"/>
        </w:rPr>
        <w:t>reviewing</w:t>
      </w:r>
      <w:proofErr w:type="gramEnd"/>
      <w:r w:rsidRPr="00FF44CE">
        <w:rPr>
          <w:lang w:val="en-US"/>
        </w:rPr>
        <w:t xml:space="preserve"> treatment, including new treatments that may be appropriate for the patient.*</w:t>
      </w:r>
    </w:p>
    <w:p w:rsidR="00FF44CE" w:rsidRPr="00FF44CE" w:rsidRDefault="00FF44CE" w:rsidP="00FF44CE">
      <w:pPr>
        <w:rPr>
          <w:rFonts w:cs="Tahoma"/>
          <w:b/>
          <w:bCs/>
          <w:szCs w:val="20"/>
          <w:lang w:val="en-US"/>
        </w:rPr>
      </w:pPr>
      <w:r w:rsidRPr="00FF44CE">
        <w:rPr>
          <w:rFonts w:cs="Tahoma"/>
          <w:b/>
          <w:bCs/>
          <w:szCs w:val="20"/>
          <w:lang w:val="en-US"/>
        </w:rPr>
        <w:t>Role of the General Practitioner (GP)</w:t>
      </w:r>
    </w:p>
    <w:p w:rsidR="00FF44CE" w:rsidRPr="00FF44CE" w:rsidRDefault="00FF44CE" w:rsidP="00FF44CE">
      <w:pPr>
        <w:rPr>
          <w:szCs w:val="20"/>
          <w:lang w:val="en-US"/>
        </w:rPr>
      </w:pPr>
      <w:r w:rsidRPr="00FF44CE">
        <w:rPr>
          <w:szCs w:val="20"/>
          <w:lang w:val="en-US"/>
        </w:rPr>
        <w:t>The primary care team (including the GP and their practice nurse) play an important role in the provision of follow-up care. The specialist or their delegate (including the registrar or breast care nurse) will usually initiate discussion with the patient about shared care.</w:t>
      </w:r>
    </w:p>
    <w:p w:rsidR="00FF44CE" w:rsidRPr="00FF44CE" w:rsidRDefault="00FF44CE" w:rsidP="00FF44CE">
      <w:pPr>
        <w:rPr>
          <w:szCs w:val="20"/>
          <w:lang w:val="en-US"/>
        </w:rPr>
      </w:pPr>
      <w:r w:rsidRPr="00FF44CE">
        <w:rPr>
          <w:szCs w:val="20"/>
          <w:lang w:val="en-US"/>
        </w:rPr>
        <w:t>Alternatively, the patient, GP or practice nurse may have initiated discussions about shared care and these discussions will then be continued by the specialist, prior to the commencement of shared care. The practice nurse may play an important coordinating role in the shared care clinical team.</w:t>
      </w:r>
    </w:p>
    <w:p w:rsidR="00FF44CE" w:rsidRPr="00FF44CE" w:rsidRDefault="00FF44CE" w:rsidP="00FF44CE">
      <w:pPr>
        <w:pStyle w:val="Heading2"/>
        <w:rPr>
          <w:lang w:val="en-US"/>
        </w:rPr>
      </w:pPr>
      <w:r w:rsidRPr="00FF44CE">
        <w:rPr>
          <w:lang w:val="en-US"/>
        </w:rPr>
        <w:t>Commencement of shared care</w:t>
      </w:r>
    </w:p>
    <w:p w:rsidR="00FF44CE" w:rsidRPr="00FF44CE" w:rsidRDefault="00FF44CE" w:rsidP="00FF44CE">
      <w:pPr>
        <w:rPr>
          <w:szCs w:val="20"/>
          <w:lang w:val="en-US"/>
        </w:rPr>
      </w:pPr>
      <w:r w:rsidRPr="00FF44CE">
        <w:rPr>
          <w:szCs w:val="20"/>
          <w:lang w:val="en-US"/>
        </w:rPr>
        <w:t>At the commencement of shared care it is the responsibility of the GP to:</w:t>
      </w:r>
    </w:p>
    <w:p w:rsidR="00FF44CE" w:rsidRPr="00FF44CE" w:rsidRDefault="00FF44CE" w:rsidP="00FF44CE">
      <w:pPr>
        <w:pStyle w:val="ListBullet"/>
        <w:rPr>
          <w:lang w:val="en-US"/>
        </w:rPr>
      </w:pPr>
      <w:r w:rsidRPr="00FF44CE">
        <w:rPr>
          <w:lang w:val="en-US"/>
        </w:rPr>
        <w:t>agree that the patient is suitable for shared care</w:t>
      </w:r>
    </w:p>
    <w:p w:rsidR="00FF44CE" w:rsidRPr="00FF44CE" w:rsidRDefault="00FF44CE" w:rsidP="00FF44CE">
      <w:pPr>
        <w:pStyle w:val="ListBullet"/>
        <w:rPr>
          <w:lang w:val="en-US"/>
        </w:rPr>
      </w:pPr>
      <w:r w:rsidRPr="00FF44CE">
        <w:rPr>
          <w:lang w:val="en-US"/>
        </w:rPr>
        <w:t>collaboratively develop the Shared Care Plan with the patient's specialist and the patient</w:t>
      </w:r>
    </w:p>
    <w:p w:rsidR="00FF44CE" w:rsidRDefault="00FF44CE" w:rsidP="00FF44CE">
      <w:pPr>
        <w:pStyle w:val="ListBullet"/>
        <w:rPr>
          <w:rFonts w:cs="Tahoma"/>
          <w:b/>
          <w:bCs/>
          <w:lang w:val="en-US"/>
        </w:rPr>
      </w:pPr>
      <w:proofErr w:type="gramStart"/>
      <w:r w:rsidRPr="00FF44CE">
        <w:rPr>
          <w:lang w:val="en-US"/>
        </w:rPr>
        <w:t>agree</w:t>
      </w:r>
      <w:proofErr w:type="gramEnd"/>
      <w:r w:rsidRPr="00FF44CE">
        <w:rPr>
          <w:lang w:val="en-US"/>
        </w:rPr>
        <w:t xml:space="preserve"> to and sign the Shared Care Plan and </w:t>
      </w:r>
      <w:r w:rsidRPr="00FF44CE">
        <w:rPr>
          <w:rFonts w:cs="Tahoma"/>
          <w:b/>
          <w:bCs/>
          <w:lang w:val="en-US"/>
        </w:rPr>
        <w:t>provide a copy to the specialist.</w:t>
      </w:r>
    </w:p>
    <w:p w:rsidR="00C54187" w:rsidRPr="00C54187" w:rsidRDefault="00C54187" w:rsidP="00C54187">
      <w:pPr>
        <w:pStyle w:val="Footnote"/>
        <w:spacing w:before="600"/>
        <w:rPr>
          <w:lang w:val="en-US"/>
        </w:rPr>
      </w:pPr>
      <w:r w:rsidRPr="00C54187">
        <w:rPr>
          <w:lang w:val="en-US"/>
        </w:rPr>
        <w:t>* Cancer Australia. Recommendations for follow-up of early breast cancer. Cancer Australia Surry Hills, NSW (March 2010).</w:t>
      </w:r>
    </w:p>
    <w:p w:rsidR="00FF44CE" w:rsidRPr="00FF44CE" w:rsidRDefault="00FF44CE" w:rsidP="00C54187">
      <w:pPr>
        <w:pStyle w:val="Heading2"/>
        <w:pageBreakBefore/>
        <w:rPr>
          <w:lang w:val="en-US"/>
        </w:rPr>
      </w:pPr>
      <w:r w:rsidRPr="00FF44CE">
        <w:rPr>
          <w:lang w:val="en-US"/>
        </w:rPr>
        <w:lastRenderedPageBreak/>
        <w:t>Communication with the specialist</w:t>
      </w:r>
    </w:p>
    <w:p w:rsidR="00FF44CE" w:rsidRPr="00FF44CE" w:rsidRDefault="00FF44CE" w:rsidP="00FF44CE">
      <w:pPr>
        <w:rPr>
          <w:szCs w:val="20"/>
          <w:lang w:val="en-US"/>
        </w:rPr>
      </w:pPr>
      <w:r w:rsidRPr="00FF44CE">
        <w:rPr>
          <w:szCs w:val="20"/>
          <w:lang w:val="en-US"/>
        </w:rPr>
        <w:t>Care of the patient requires coordination through timely and effective communication. It is the responsibility of the GP to:</w:t>
      </w:r>
    </w:p>
    <w:p w:rsidR="00FF44CE" w:rsidRPr="00FF44CE" w:rsidRDefault="00FF44CE" w:rsidP="00FF44CE">
      <w:pPr>
        <w:pStyle w:val="ListBullet"/>
        <w:rPr>
          <w:lang w:val="en-US"/>
        </w:rPr>
      </w:pPr>
      <w:r w:rsidRPr="00FF44CE">
        <w:rPr>
          <w:lang w:val="en-US"/>
        </w:rPr>
        <w:t>ensure that a detailed treatment summary has been received from the specialist when the patient commences shared care</w:t>
      </w:r>
    </w:p>
    <w:p w:rsidR="00FF44CE" w:rsidRPr="00FF44CE" w:rsidRDefault="00FF44CE" w:rsidP="00FF44CE">
      <w:pPr>
        <w:pStyle w:val="ListBullet"/>
        <w:rPr>
          <w:lang w:val="en-US"/>
        </w:rPr>
      </w:pPr>
      <w:r w:rsidRPr="00FF44CE">
        <w:rPr>
          <w:lang w:val="en-US"/>
        </w:rPr>
        <w:t xml:space="preserve">record any follow-up care and results provided by the primary care team on the Shared Care Plan; an update of any follow-up care and results in relation to </w:t>
      </w:r>
      <w:r w:rsidRPr="00FF44CE">
        <w:rPr>
          <w:rFonts w:cs="Tahoma"/>
          <w:b/>
          <w:bCs/>
          <w:lang w:val="en-US"/>
        </w:rPr>
        <w:t xml:space="preserve">each follow-up visit should be sent to the specialist, </w:t>
      </w:r>
      <w:r w:rsidRPr="00FF44CE">
        <w:rPr>
          <w:lang w:val="en-US"/>
        </w:rPr>
        <w:t>noting any significant change in the patient's medical status</w:t>
      </w:r>
    </w:p>
    <w:p w:rsidR="00FF44CE" w:rsidRPr="00FF44CE" w:rsidRDefault="00FF44CE" w:rsidP="00FF44CE">
      <w:pPr>
        <w:pStyle w:val="ListBullet"/>
        <w:rPr>
          <w:lang w:val="en-US"/>
        </w:rPr>
      </w:pPr>
      <w:proofErr w:type="gramStart"/>
      <w:r w:rsidRPr="00FF44CE">
        <w:rPr>
          <w:lang w:val="en-US"/>
        </w:rPr>
        <w:t>refer</w:t>
      </w:r>
      <w:proofErr w:type="gramEnd"/>
      <w:r w:rsidRPr="00FF44CE">
        <w:rPr>
          <w:lang w:val="en-US"/>
        </w:rPr>
        <w:t xml:space="preserve"> the patient via the Rapid Access Request to the specialist if there are symptoms, signs or imaging results suggestive of a breast cancer recurrence or for advice about any aspect of patient care as required, including reporting adverse events.</w:t>
      </w:r>
    </w:p>
    <w:sectPr w:rsidR="00FF44CE" w:rsidRPr="00FF44CE" w:rsidSect="0005266B">
      <w:headerReference w:type="default" r:id="rId11"/>
      <w:footerReference w:type="default" r:id="rId12"/>
      <w:pgSz w:w="11906" w:h="16838" w:code="9"/>
      <w:pgMar w:top="1418" w:right="1418" w:bottom="1418" w:left="1418" w:header="1418"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4CB" w:rsidRDefault="00AB14CB" w:rsidP="007C5428">
      <w:r>
        <w:separator/>
      </w:r>
    </w:p>
  </w:endnote>
  <w:endnote w:type="continuationSeparator" w:id="0">
    <w:p w:rsidR="00AB14CB" w:rsidRDefault="00AB14CB" w:rsidP="007C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153" w:rsidRDefault="00384153" w:rsidP="0005266B">
    <w:pPr>
      <w:pStyle w:val="Footer"/>
      <w:spacing w:before="0" w:line="2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153" w:rsidRDefault="00384153" w:rsidP="00E0196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4CB" w:rsidRDefault="00AB14CB" w:rsidP="007C5428">
      <w:r>
        <w:separator/>
      </w:r>
    </w:p>
  </w:footnote>
  <w:footnote w:type="continuationSeparator" w:id="0">
    <w:p w:rsidR="00AB14CB" w:rsidRDefault="00AB14CB" w:rsidP="007C5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153" w:rsidRDefault="00384153" w:rsidP="00E0196E">
    <w:pPr>
      <w:pStyle w:val="Header"/>
      <w:spacing w:after="24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6C50C4"/>
    <w:lvl w:ilvl="0">
      <w:start w:val="1"/>
      <w:numFmt w:val="decimal"/>
      <w:lvlText w:val="%1."/>
      <w:lvlJc w:val="left"/>
      <w:pPr>
        <w:tabs>
          <w:tab w:val="num" w:pos="1492"/>
        </w:tabs>
        <w:ind w:left="1492" w:hanging="360"/>
      </w:pPr>
    </w:lvl>
  </w:abstractNum>
  <w:abstractNum w:abstractNumId="1">
    <w:nsid w:val="FFFFFF7D"/>
    <w:multiLevelType w:val="singleLevel"/>
    <w:tmpl w:val="D486B3CA"/>
    <w:lvl w:ilvl="0">
      <w:start w:val="1"/>
      <w:numFmt w:val="decimal"/>
      <w:lvlText w:val="%1."/>
      <w:lvlJc w:val="left"/>
      <w:pPr>
        <w:tabs>
          <w:tab w:val="num" w:pos="1209"/>
        </w:tabs>
        <w:ind w:left="1209" w:hanging="360"/>
      </w:pPr>
    </w:lvl>
  </w:abstractNum>
  <w:abstractNum w:abstractNumId="2">
    <w:nsid w:val="FFFFFF7E"/>
    <w:multiLevelType w:val="singleLevel"/>
    <w:tmpl w:val="13D06EF8"/>
    <w:lvl w:ilvl="0">
      <w:start w:val="1"/>
      <w:numFmt w:val="lowerRoman"/>
      <w:pStyle w:val="ListNumber3"/>
      <w:lvlText w:val="%1."/>
      <w:lvlJc w:val="left"/>
      <w:pPr>
        <w:tabs>
          <w:tab w:val="num" w:pos="2160"/>
        </w:tabs>
        <w:ind w:left="2160" w:hanging="720"/>
      </w:pPr>
      <w:rPr>
        <w:rFonts w:hint="default"/>
      </w:rPr>
    </w:lvl>
  </w:abstractNum>
  <w:abstractNum w:abstractNumId="3">
    <w:nsid w:val="FFFFFF7F"/>
    <w:multiLevelType w:val="singleLevel"/>
    <w:tmpl w:val="A6104012"/>
    <w:lvl w:ilvl="0">
      <w:start w:val="1"/>
      <w:numFmt w:val="lowerLetter"/>
      <w:pStyle w:val="ListNumber2"/>
      <w:lvlText w:val="%1."/>
      <w:lvlJc w:val="left"/>
      <w:pPr>
        <w:tabs>
          <w:tab w:val="num" w:pos="1440"/>
        </w:tabs>
        <w:ind w:left="1440" w:hanging="720"/>
      </w:pPr>
      <w:rPr>
        <w:rFonts w:hint="default"/>
      </w:rPr>
    </w:lvl>
  </w:abstractNum>
  <w:abstractNum w:abstractNumId="4">
    <w:nsid w:val="FFFFFF80"/>
    <w:multiLevelType w:val="singleLevel"/>
    <w:tmpl w:val="780CF5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0A06B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98F9C6"/>
    <w:lvl w:ilvl="0">
      <w:start w:val="1"/>
      <w:numFmt w:val="bullet"/>
      <w:pStyle w:val="ListBullet3"/>
      <w:lvlText w:val=""/>
      <w:lvlJc w:val="left"/>
      <w:pPr>
        <w:tabs>
          <w:tab w:val="num" w:pos="1699"/>
        </w:tabs>
        <w:ind w:left="1699" w:hanging="561"/>
      </w:pPr>
      <w:rPr>
        <w:rFonts w:ascii="Wingdings 2" w:hAnsi="Wingdings 2" w:hint="default"/>
        <w:b w:val="0"/>
        <w:i w:val="0"/>
        <w:sz w:val="20"/>
        <w:szCs w:val="20"/>
      </w:rPr>
    </w:lvl>
  </w:abstractNum>
  <w:abstractNum w:abstractNumId="7">
    <w:nsid w:val="FFFFFF83"/>
    <w:multiLevelType w:val="singleLevel"/>
    <w:tmpl w:val="DCECFE46"/>
    <w:lvl w:ilvl="0">
      <w:start w:val="1"/>
      <w:numFmt w:val="bullet"/>
      <w:pStyle w:val="ListBullet2"/>
      <w:lvlText w:val="–"/>
      <w:lvlJc w:val="left"/>
      <w:pPr>
        <w:tabs>
          <w:tab w:val="num" w:pos="567"/>
        </w:tabs>
        <w:ind w:left="1134" w:hanging="567"/>
      </w:pPr>
      <w:rPr>
        <w:rFonts w:ascii="Verdana" w:hAnsi="Verdana" w:hint="default"/>
      </w:rPr>
    </w:lvl>
  </w:abstractNum>
  <w:abstractNum w:abstractNumId="8">
    <w:nsid w:val="FFFFFF88"/>
    <w:multiLevelType w:val="singleLevel"/>
    <w:tmpl w:val="C37E5FEE"/>
    <w:lvl w:ilvl="0">
      <w:start w:val="1"/>
      <w:numFmt w:val="decimal"/>
      <w:pStyle w:val="ListNumber"/>
      <w:lvlText w:val="%1."/>
      <w:lvlJc w:val="left"/>
      <w:pPr>
        <w:tabs>
          <w:tab w:val="num" w:pos="720"/>
        </w:tabs>
        <w:ind w:left="720" w:hanging="720"/>
      </w:pPr>
      <w:rPr>
        <w:rFonts w:hint="default"/>
      </w:rPr>
    </w:lvl>
  </w:abstractNum>
  <w:abstractNum w:abstractNumId="9">
    <w:nsid w:val="FFFFFF89"/>
    <w:multiLevelType w:val="singleLevel"/>
    <w:tmpl w:val="2BF6D20C"/>
    <w:lvl w:ilvl="0">
      <w:start w:val="1"/>
      <w:numFmt w:val="bullet"/>
      <w:pStyle w:val="ListBullet"/>
      <w:lvlText w:val=""/>
      <w:lvlJc w:val="left"/>
      <w:pPr>
        <w:tabs>
          <w:tab w:val="num" w:pos="567"/>
        </w:tabs>
        <w:ind w:left="567" w:hanging="567"/>
      </w:pPr>
      <w:rPr>
        <w:rFonts w:ascii="Symbol" w:hAnsi="Symbol" w:hint="default"/>
      </w:rPr>
    </w:lvl>
  </w:abstractNum>
  <w:abstractNum w:abstractNumId="10">
    <w:nsid w:val="0147407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60A2C74"/>
    <w:multiLevelType w:val="multilevel"/>
    <w:tmpl w:val="699264AE"/>
    <w:lvl w:ilvl="0">
      <w:start w:val="1"/>
      <w:numFmt w:val="decimal"/>
      <w:suff w:val="space"/>
      <w:lvlText w:val="Section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nsid w:val="1F68072F"/>
    <w:multiLevelType w:val="multilevel"/>
    <w:tmpl w:val="722EAA3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238F53BD"/>
    <w:multiLevelType w:val="multilevel"/>
    <w:tmpl w:val="5296D59A"/>
    <w:lvl w:ilvl="0">
      <w:start w:val="1"/>
      <w:numFmt w:val="decimal"/>
      <w:suff w:val="space"/>
      <w:lvlText w:val="Section %1"/>
      <w:lvlJc w:val="left"/>
      <w:pPr>
        <w:ind w:left="2268" w:hanging="2268"/>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nsid w:val="253D41BF"/>
    <w:multiLevelType w:val="multilevel"/>
    <w:tmpl w:val="2C9E25BE"/>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701"/>
        </w:tabs>
        <w:ind w:left="1701" w:hanging="1701"/>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nsid w:val="288A652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93B69CC"/>
    <w:multiLevelType w:val="multilevel"/>
    <w:tmpl w:val="91782CFC"/>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nsid w:val="2C0D224D"/>
    <w:multiLevelType w:val="multilevel"/>
    <w:tmpl w:val="7826E0C0"/>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701"/>
        </w:tabs>
        <w:ind w:left="1701" w:hanging="1701"/>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2E7D383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FF80B68"/>
    <w:multiLevelType w:val="multilevel"/>
    <w:tmpl w:val="1B84192A"/>
    <w:lvl w:ilvl="0">
      <w:start w:val="1"/>
      <w:numFmt w:val="decimal"/>
      <w:suff w:val="space"/>
      <w:lvlText w:val="Section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nsid w:val="33C435E6"/>
    <w:multiLevelType w:val="multilevel"/>
    <w:tmpl w:val="3CD044DC"/>
    <w:lvl w:ilvl="0">
      <w:start w:val="1"/>
      <w:numFmt w:val="decimal"/>
      <w:lvlText w:val="Section %1"/>
      <w:lvlJc w:val="left"/>
      <w:pPr>
        <w:tabs>
          <w:tab w:val="num" w:pos="2268"/>
        </w:tabs>
        <w:ind w:left="2268" w:hanging="226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nsid w:val="4495519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7553B5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9BD1259"/>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nsid w:val="4AB36828"/>
    <w:multiLevelType w:val="multilevel"/>
    <w:tmpl w:val="997465E4"/>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nsid w:val="5DD623A1"/>
    <w:multiLevelType w:val="multilevel"/>
    <w:tmpl w:val="A9022BF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nsid w:val="5F66080B"/>
    <w:multiLevelType w:val="multilevel"/>
    <w:tmpl w:val="0B806964"/>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nsid w:val="606E35BD"/>
    <w:multiLevelType w:val="multilevel"/>
    <w:tmpl w:val="307EC2D8"/>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nsid w:val="67C256C8"/>
    <w:multiLevelType w:val="multilevel"/>
    <w:tmpl w:val="F2101AC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nsid w:val="69681B61"/>
    <w:multiLevelType w:val="multilevel"/>
    <w:tmpl w:val="D99E115C"/>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nsid w:val="69AC3607"/>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1">
    <w:nsid w:val="6CC0490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743A253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556285C"/>
    <w:multiLevelType w:val="multilevel"/>
    <w:tmpl w:val="2164776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nsid w:val="7B345140"/>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nsid w:val="7F703F7D"/>
    <w:multiLevelType w:val="multilevel"/>
    <w:tmpl w:val="8F02BA3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19"/>
  </w:num>
  <w:num w:numId="13">
    <w:abstractNumId w:val="11"/>
  </w:num>
  <w:num w:numId="14">
    <w:abstractNumId w:val="13"/>
  </w:num>
  <w:num w:numId="15">
    <w:abstractNumId w:val="17"/>
  </w:num>
  <w:num w:numId="16">
    <w:abstractNumId w:val="14"/>
  </w:num>
  <w:num w:numId="17">
    <w:abstractNumId w:val="29"/>
  </w:num>
  <w:num w:numId="18">
    <w:abstractNumId w:val="20"/>
  </w:num>
  <w:num w:numId="19">
    <w:abstractNumId w:val="28"/>
  </w:num>
  <w:num w:numId="20">
    <w:abstractNumId w:val="30"/>
  </w:num>
  <w:num w:numId="21">
    <w:abstractNumId w:val="24"/>
  </w:num>
  <w:num w:numId="22">
    <w:abstractNumId w:val="25"/>
  </w:num>
  <w:num w:numId="23">
    <w:abstractNumId w:val="26"/>
  </w:num>
  <w:num w:numId="24">
    <w:abstractNumId w:val="12"/>
  </w:num>
  <w:num w:numId="25">
    <w:abstractNumId w:val="35"/>
  </w:num>
  <w:num w:numId="26">
    <w:abstractNumId w:val="16"/>
  </w:num>
  <w:num w:numId="27">
    <w:abstractNumId w:val="21"/>
  </w:num>
  <w:num w:numId="28">
    <w:abstractNumId w:val="22"/>
  </w:num>
  <w:num w:numId="29">
    <w:abstractNumId w:val="15"/>
  </w:num>
  <w:num w:numId="30">
    <w:abstractNumId w:val="32"/>
  </w:num>
  <w:num w:numId="31">
    <w:abstractNumId w:val="33"/>
  </w:num>
  <w:num w:numId="32">
    <w:abstractNumId w:val="34"/>
  </w:num>
  <w:num w:numId="33">
    <w:abstractNumId w:val="23"/>
  </w:num>
  <w:num w:numId="34">
    <w:abstractNumId w:val="31"/>
  </w:num>
  <w:num w:numId="35">
    <w:abstractNumId w:val="10"/>
  </w:num>
  <w:num w:numId="36">
    <w:abstractNumId w:val="18"/>
  </w:num>
  <w:num w:numId="37">
    <w:abstractNumId w:val="2"/>
    <w:lvlOverride w:ilvl="0">
      <w:startOverride w:val="1"/>
    </w:lvlOverride>
  </w:num>
  <w:num w:numId="38">
    <w:abstractNumId w:val="2"/>
    <w:lvlOverride w:ilvl="0">
      <w:startOverride w:val="1"/>
    </w:lvlOverride>
  </w:num>
  <w:num w:numId="39">
    <w:abstractNumId w:val="8"/>
    <w:lvlOverride w:ilvl="0">
      <w:startOverride w:val="1"/>
    </w:lvlOverride>
  </w:num>
  <w:num w:numId="4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4CB"/>
    <w:rsid w:val="0000634F"/>
    <w:rsid w:val="00027D40"/>
    <w:rsid w:val="000429C1"/>
    <w:rsid w:val="0005266B"/>
    <w:rsid w:val="0007752B"/>
    <w:rsid w:val="000831CB"/>
    <w:rsid w:val="0009674A"/>
    <w:rsid w:val="000A18A7"/>
    <w:rsid w:val="000A1B3E"/>
    <w:rsid w:val="000A1FE0"/>
    <w:rsid w:val="000C1A3F"/>
    <w:rsid w:val="000D101F"/>
    <w:rsid w:val="000D5768"/>
    <w:rsid w:val="000E6E62"/>
    <w:rsid w:val="0012161F"/>
    <w:rsid w:val="00136A48"/>
    <w:rsid w:val="001403C0"/>
    <w:rsid w:val="001725DC"/>
    <w:rsid w:val="00191B09"/>
    <w:rsid w:val="001C1F52"/>
    <w:rsid w:val="0020392F"/>
    <w:rsid w:val="00244729"/>
    <w:rsid w:val="0024639A"/>
    <w:rsid w:val="002560C6"/>
    <w:rsid w:val="00273E75"/>
    <w:rsid w:val="002C244C"/>
    <w:rsid w:val="002E26CE"/>
    <w:rsid w:val="002F3DB8"/>
    <w:rsid w:val="00343274"/>
    <w:rsid w:val="0035227C"/>
    <w:rsid w:val="0035403C"/>
    <w:rsid w:val="0036267C"/>
    <w:rsid w:val="0036590E"/>
    <w:rsid w:val="00384153"/>
    <w:rsid w:val="003B586C"/>
    <w:rsid w:val="003B61FD"/>
    <w:rsid w:val="003D6E59"/>
    <w:rsid w:val="003E156C"/>
    <w:rsid w:val="003E3B1E"/>
    <w:rsid w:val="00426913"/>
    <w:rsid w:val="00435D2A"/>
    <w:rsid w:val="004528A0"/>
    <w:rsid w:val="004914B4"/>
    <w:rsid w:val="004A5FC0"/>
    <w:rsid w:val="004B55B9"/>
    <w:rsid w:val="004C1ECF"/>
    <w:rsid w:val="004F780B"/>
    <w:rsid w:val="0051059A"/>
    <w:rsid w:val="005549E1"/>
    <w:rsid w:val="005E399C"/>
    <w:rsid w:val="005F0A45"/>
    <w:rsid w:val="005F7A63"/>
    <w:rsid w:val="00626CC3"/>
    <w:rsid w:val="00650CDD"/>
    <w:rsid w:val="00684101"/>
    <w:rsid w:val="006C0C13"/>
    <w:rsid w:val="006E7A89"/>
    <w:rsid w:val="007063C7"/>
    <w:rsid w:val="0071332A"/>
    <w:rsid w:val="00737F9E"/>
    <w:rsid w:val="0074792E"/>
    <w:rsid w:val="0075638E"/>
    <w:rsid w:val="007B1210"/>
    <w:rsid w:val="007C5428"/>
    <w:rsid w:val="007D7E29"/>
    <w:rsid w:val="007E6713"/>
    <w:rsid w:val="00815EE7"/>
    <w:rsid w:val="00862D74"/>
    <w:rsid w:val="008E0B44"/>
    <w:rsid w:val="00904089"/>
    <w:rsid w:val="009200D5"/>
    <w:rsid w:val="0092079A"/>
    <w:rsid w:val="009415FA"/>
    <w:rsid w:val="009A6686"/>
    <w:rsid w:val="00A011A0"/>
    <w:rsid w:val="00A56904"/>
    <w:rsid w:val="00A75397"/>
    <w:rsid w:val="00A8189C"/>
    <w:rsid w:val="00A96152"/>
    <w:rsid w:val="00AB14CB"/>
    <w:rsid w:val="00AE157B"/>
    <w:rsid w:val="00AE78CA"/>
    <w:rsid w:val="00B11BFC"/>
    <w:rsid w:val="00B234F1"/>
    <w:rsid w:val="00B3392C"/>
    <w:rsid w:val="00B53DCB"/>
    <w:rsid w:val="00BA4D98"/>
    <w:rsid w:val="00BA662D"/>
    <w:rsid w:val="00BE74C5"/>
    <w:rsid w:val="00BF122A"/>
    <w:rsid w:val="00C2140D"/>
    <w:rsid w:val="00C54187"/>
    <w:rsid w:val="00C74B40"/>
    <w:rsid w:val="00C76580"/>
    <w:rsid w:val="00CD24CF"/>
    <w:rsid w:val="00D0029A"/>
    <w:rsid w:val="00D06AE5"/>
    <w:rsid w:val="00D33D07"/>
    <w:rsid w:val="00D42027"/>
    <w:rsid w:val="00D61035"/>
    <w:rsid w:val="00D730A3"/>
    <w:rsid w:val="00D826D4"/>
    <w:rsid w:val="00DA5253"/>
    <w:rsid w:val="00DA6871"/>
    <w:rsid w:val="00DB1FB3"/>
    <w:rsid w:val="00DB79D8"/>
    <w:rsid w:val="00DC1B3B"/>
    <w:rsid w:val="00DD6227"/>
    <w:rsid w:val="00DF4FE1"/>
    <w:rsid w:val="00E0196E"/>
    <w:rsid w:val="00E1353B"/>
    <w:rsid w:val="00E77ED5"/>
    <w:rsid w:val="00EA209E"/>
    <w:rsid w:val="00ED63E1"/>
    <w:rsid w:val="00F35BBB"/>
    <w:rsid w:val="00F43FB5"/>
    <w:rsid w:val="00FC4C9F"/>
    <w:rsid w:val="00FF44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FE0"/>
    <w:pPr>
      <w:spacing w:before="240"/>
    </w:pPr>
    <w:rPr>
      <w:rFonts w:ascii="Verdana" w:hAnsi="Verdana"/>
      <w:szCs w:val="24"/>
    </w:rPr>
  </w:style>
  <w:style w:type="paragraph" w:styleId="Heading1">
    <w:name w:val="heading 1"/>
    <w:basedOn w:val="Normal"/>
    <w:next w:val="Normal"/>
    <w:qFormat/>
    <w:rsid w:val="00DB1FB3"/>
    <w:pPr>
      <w:keepNext/>
      <w:pageBreakBefore/>
      <w:spacing w:before="2400" w:after="60"/>
      <w:jc w:val="center"/>
      <w:outlineLvl w:val="0"/>
    </w:pPr>
    <w:rPr>
      <w:rFonts w:cs="Arial"/>
      <w:b/>
      <w:bCs/>
      <w:caps/>
      <w:kern w:val="32"/>
      <w:sz w:val="32"/>
      <w:szCs w:val="32"/>
    </w:rPr>
  </w:style>
  <w:style w:type="paragraph" w:styleId="Heading2">
    <w:name w:val="heading 2"/>
    <w:basedOn w:val="Normal"/>
    <w:next w:val="Normal"/>
    <w:qFormat/>
    <w:rsid w:val="007E6713"/>
    <w:pPr>
      <w:keepNext/>
      <w:spacing w:after="60"/>
      <w:outlineLvl w:val="1"/>
    </w:pPr>
    <w:rPr>
      <w:rFonts w:cs="Arial"/>
      <w:b/>
      <w:bCs/>
      <w:iCs/>
      <w:sz w:val="32"/>
      <w:szCs w:val="28"/>
    </w:rPr>
  </w:style>
  <w:style w:type="paragraph" w:styleId="Heading3">
    <w:name w:val="heading 3"/>
    <w:basedOn w:val="Heading2"/>
    <w:next w:val="Normal"/>
    <w:qFormat/>
    <w:rsid w:val="007E6713"/>
    <w:pPr>
      <w:outlineLvl w:val="2"/>
    </w:pPr>
    <w:rPr>
      <w:bCs w:val="0"/>
      <w:sz w:val="28"/>
      <w:szCs w:val="26"/>
    </w:rPr>
  </w:style>
  <w:style w:type="paragraph" w:styleId="Heading4">
    <w:name w:val="heading 4"/>
    <w:basedOn w:val="Normal"/>
    <w:next w:val="Normal"/>
    <w:qFormat/>
    <w:rsid w:val="007E6713"/>
    <w:pPr>
      <w:keepNext/>
      <w:numPr>
        <w:ilvl w:val="3"/>
        <w:numId w:val="11"/>
      </w:numPr>
      <w:spacing w:after="60"/>
      <w:outlineLvl w:val="3"/>
    </w:pPr>
    <w:rPr>
      <w:b/>
      <w:bCs/>
      <w:sz w:val="24"/>
    </w:rPr>
  </w:style>
  <w:style w:type="paragraph" w:styleId="Heading5">
    <w:name w:val="heading 5"/>
    <w:basedOn w:val="Normal"/>
    <w:next w:val="Normal"/>
    <w:qFormat/>
    <w:rsid w:val="007E6713"/>
    <w:pPr>
      <w:spacing w:after="60"/>
      <w:outlineLvl w:val="4"/>
    </w:pPr>
    <w:rPr>
      <w:b/>
      <w:bCs/>
      <w:iCs/>
      <w:szCs w:val="20"/>
    </w:rPr>
  </w:style>
  <w:style w:type="paragraph" w:styleId="Heading6">
    <w:name w:val="heading 6"/>
    <w:basedOn w:val="Normal"/>
    <w:next w:val="Normal"/>
    <w:qFormat/>
    <w:rsid w:val="002560C6"/>
    <w:pPr>
      <w:numPr>
        <w:ilvl w:val="5"/>
        <w:numId w:val="20"/>
      </w:numPr>
      <w:spacing w:after="60"/>
      <w:outlineLvl w:val="5"/>
    </w:pPr>
    <w:rPr>
      <w:b/>
      <w:bCs/>
      <w:sz w:val="22"/>
      <w:szCs w:val="22"/>
    </w:rPr>
  </w:style>
  <w:style w:type="paragraph" w:styleId="Heading7">
    <w:name w:val="heading 7"/>
    <w:basedOn w:val="Normal"/>
    <w:next w:val="Normal"/>
    <w:qFormat/>
    <w:rsid w:val="002560C6"/>
    <w:pPr>
      <w:numPr>
        <w:ilvl w:val="6"/>
        <w:numId w:val="20"/>
      </w:numPr>
      <w:spacing w:after="60"/>
      <w:outlineLvl w:val="6"/>
    </w:pPr>
  </w:style>
  <w:style w:type="paragraph" w:styleId="Heading8">
    <w:name w:val="heading 8"/>
    <w:basedOn w:val="Normal"/>
    <w:next w:val="Normal"/>
    <w:qFormat/>
    <w:rsid w:val="002560C6"/>
    <w:pPr>
      <w:numPr>
        <w:ilvl w:val="7"/>
        <w:numId w:val="20"/>
      </w:numPr>
      <w:spacing w:after="60"/>
      <w:outlineLvl w:val="7"/>
    </w:pPr>
    <w:rPr>
      <w:i/>
      <w:iCs/>
    </w:rPr>
  </w:style>
  <w:style w:type="paragraph" w:styleId="Heading9">
    <w:name w:val="heading 9"/>
    <w:basedOn w:val="Normal"/>
    <w:next w:val="Normal"/>
    <w:qFormat/>
    <w:rsid w:val="002560C6"/>
    <w:pPr>
      <w:numPr>
        <w:ilvl w:val="8"/>
        <w:numId w:val="20"/>
      </w:numPr>
      <w:spacing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rsid w:val="004A5FC0"/>
    <w:pPr>
      <w:numPr>
        <w:numId w:val="3"/>
      </w:numPr>
      <w:tabs>
        <w:tab w:val="clear" w:pos="1699"/>
        <w:tab w:val="left" w:pos="720"/>
        <w:tab w:val="left" w:pos="1440"/>
        <w:tab w:val="left" w:pos="2160"/>
      </w:tabs>
      <w:ind w:left="2160" w:hanging="720"/>
    </w:pPr>
  </w:style>
  <w:style w:type="character" w:customStyle="1" w:styleId="Hints">
    <w:name w:val="Hints"/>
    <w:semiHidden/>
    <w:rsid w:val="0024639A"/>
    <w:rPr>
      <w:noProof/>
      <w:color w:val="FF0000"/>
    </w:rPr>
  </w:style>
  <w:style w:type="paragraph" w:styleId="Header">
    <w:name w:val="header"/>
    <w:basedOn w:val="Normal"/>
    <w:semiHidden/>
    <w:rsid w:val="00FC4C9F"/>
    <w:pPr>
      <w:tabs>
        <w:tab w:val="center" w:pos="4153"/>
        <w:tab w:val="right" w:pos="8306"/>
      </w:tabs>
      <w:spacing w:before="0"/>
    </w:pPr>
    <w:rPr>
      <w:i/>
      <w:sz w:val="16"/>
    </w:rPr>
  </w:style>
  <w:style w:type="table" w:styleId="TableGrid">
    <w:name w:val="Table Grid"/>
    <w:basedOn w:val="TableNormal"/>
    <w:semiHidden/>
    <w:rsid w:val="007C54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autoRedefine/>
    <w:semiHidden/>
    <w:rsid w:val="007063C7"/>
    <w:pPr>
      <w:tabs>
        <w:tab w:val="right" w:leader="dot" w:pos="9061"/>
      </w:tabs>
    </w:pPr>
    <w:rPr>
      <w:b/>
    </w:rPr>
  </w:style>
  <w:style w:type="paragraph" w:styleId="TOC2">
    <w:name w:val="toc 2"/>
    <w:basedOn w:val="Normal"/>
    <w:autoRedefine/>
    <w:semiHidden/>
    <w:rsid w:val="007063C7"/>
    <w:pPr>
      <w:tabs>
        <w:tab w:val="right" w:leader="dot" w:pos="9061"/>
      </w:tabs>
      <w:spacing w:before="0"/>
      <w:ind w:left="567"/>
    </w:pPr>
  </w:style>
  <w:style w:type="paragraph" w:styleId="ListNumber3">
    <w:name w:val="List Number 3"/>
    <w:basedOn w:val="Normal"/>
    <w:rsid w:val="00C76580"/>
    <w:pPr>
      <w:numPr>
        <w:numId w:val="8"/>
      </w:numPr>
    </w:pPr>
  </w:style>
  <w:style w:type="paragraph" w:customStyle="1" w:styleId="Sub-subtitle">
    <w:name w:val="Sub-subtitle"/>
    <w:basedOn w:val="Subtitle"/>
    <w:next w:val="Normal"/>
    <w:rsid w:val="000D101F"/>
    <w:rPr>
      <w:sz w:val="24"/>
    </w:rPr>
  </w:style>
  <w:style w:type="paragraph" w:styleId="Subtitle">
    <w:name w:val="Subtitle"/>
    <w:basedOn w:val="Normal"/>
    <w:next w:val="Sub-subtitle"/>
    <w:qFormat/>
    <w:rsid w:val="0035403C"/>
    <w:pPr>
      <w:spacing w:before="2400"/>
      <w:jc w:val="center"/>
      <w:outlineLvl w:val="1"/>
    </w:pPr>
    <w:rPr>
      <w:rFonts w:cs="Arial"/>
      <w:b/>
      <w:caps/>
      <w:sz w:val="28"/>
      <w:szCs w:val="28"/>
    </w:rPr>
  </w:style>
  <w:style w:type="paragraph" w:customStyle="1" w:styleId="Contents">
    <w:name w:val="Contents"/>
    <w:basedOn w:val="Heading2"/>
    <w:next w:val="Normal"/>
    <w:rsid w:val="000C1A3F"/>
  </w:style>
  <w:style w:type="paragraph" w:customStyle="1" w:styleId="TableText">
    <w:name w:val="Table Text"/>
    <w:basedOn w:val="Normal"/>
    <w:rsid w:val="00FC4C9F"/>
    <w:pPr>
      <w:spacing w:before="80" w:after="80"/>
    </w:pPr>
  </w:style>
  <w:style w:type="paragraph" w:customStyle="1" w:styleId="TableHeading">
    <w:name w:val="Table Heading"/>
    <w:basedOn w:val="TableText"/>
    <w:rsid w:val="0092079A"/>
    <w:pPr>
      <w:keepNext/>
    </w:pPr>
    <w:rPr>
      <w:b/>
    </w:rPr>
  </w:style>
  <w:style w:type="paragraph" w:customStyle="1" w:styleId="TableCaption">
    <w:name w:val="Table Caption"/>
    <w:basedOn w:val="Normal"/>
    <w:next w:val="Normal"/>
    <w:rsid w:val="00FC4C9F"/>
    <w:pPr>
      <w:keepNext/>
      <w:spacing w:after="240"/>
    </w:pPr>
    <w:rPr>
      <w:b/>
    </w:rPr>
  </w:style>
  <w:style w:type="paragraph" w:customStyle="1" w:styleId="Figure">
    <w:name w:val="Figure"/>
    <w:basedOn w:val="Normal"/>
    <w:next w:val="ListBullet3"/>
    <w:rsid w:val="00626CC3"/>
  </w:style>
  <w:style w:type="paragraph" w:customStyle="1" w:styleId="FigureCaption">
    <w:name w:val="Figure Caption"/>
    <w:basedOn w:val="Normal"/>
    <w:next w:val="Figure"/>
    <w:rsid w:val="00FC4C9F"/>
    <w:pPr>
      <w:keepNext/>
      <w:spacing w:after="240"/>
    </w:pPr>
    <w:rPr>
      <w:b/>
    </w:rPr>
  </w:style>
  <w:style w:type="paragraph" w:customStyle="1" w:styleId="SectionHeading">
    <w:name w:val="Section Heading"/>
    <w:basedOn w:val="Normal"/>
    <w:next w:val="Heading2"/>
    <w:semiHidden/>
    <w:rsid w:val="00FC4C9F"/>
    <w:rPr>
      <w:b/>
      <w:sz w:val="24"/>
    </w:rPr>
  </w:style>
  <w:style w:type="paragraph" w:styleId="Footer">
    <w:name w:val="footer"/>
    <w:basedOn w:val="Normal"/>
    <w:semiHidden/>
    <w:rsid w:val="00FC4C9F"/>
    <w:pPr>
      <w:tabs>
        <w:tab w:val="center" w:pos="4153"/>
        <w:tab w:val="right" w:pos="8306"/>
      </w:tabs>
    </w:pPr>
    <w:rPr>
      <w:sz w:val="16"/>
    </w:rPr>
  </w:style>
  <w:style w:type="paragraph" w:styleId="ListBullet">
    <w:name w:val="List Bullet"/>
    <w:basedOn w:val="Normal"/>
    <w:rsid w:val="00904089"/>
    <w:pPr>
      <w:numPr>
        <w:numId w:val="1"/>
      </w:numPr>
      <w:tabs>
        <w:tab w:val="clear" w:pos="567"/>
        <w:tab w:val="left" w:pos="720"/>
      </w:tabs>
      <w:ind w:left="720" w:hanging="720"/>
    </w:pPr>
  </w:style>
  <w:style w:type="paragraph" w:styleId="ListBullet2">
    <w:name w:val="List Bullet 2"/>
    <w:basedOn w:val="ListBullet"/>
    <w:rsid w:val="00904089"/>
    <w:pPr>
      <w:numPr>
        <w:numId w:val="2"/>
      </w:numPr>
      <w:tabs>
        <w:tab w:val="clear" w:pos="567"/>
        <w:tab w:val="left" w:pos="1440"/>
      </w:tabs>
      <w:ind w:left="1440" w:hanging="720"/>
    </w:pPr>
  </w:style>
  <w:style w:type="paragraph" w:styleId="ListNumber">
    <w:name w:val="List Number"/>
    <w:basedOn w:val="Normal"/>
    <w:rsid w:val="00FC4C9F"/>
    <w:pPr>
      <w:numPr>
        <w:numId w:val="6"/>
      </w:numPr>
    </w:pPr>
  </w:style>
  <w:style w:type="paragraph" w:styleId="ListNumber2">
    <w:name w:val="List Number 2"/>
    <w:basedOn w:val="Normal"/>
    <w:rsid w:val="00D0029A"/>
    <w:pPr>
      <w:numPr>
        <w:numId w:val="7"/>
      </w:numPr>
    </w:pPr>
  </w:style>
  <w:style w:type="paragraph" w:styleId="TableofFigures">
    <w:name w:val="table of figures"/>
    <w:basedOn w:val="TOC2"/>
    <w:next w:val="Normal"/>
    <w:semiHidden/>
    <w:rsid w:val="0092079A"/>
    <w:pPr>
      <w:ind w:left="0"/>
    </w:pPr>
  </w:style>
  <w:style w:type="paragraph" w:customStyle="1" w:styleId="Heading1-nonumbering">
    <w:name w:val="Heading 1 - no numbering"/>
    <w:basedOn w:val="Heading1"/>
    <w:next w:val="Normal"/>
    <w:semiHidden/>
    <w:rsid w:val="0007752B"/>
  </w:style>
  <w:style w:type="paragraph" w:styleId="TOC3">
    <w:name w:val="toc 3"/>
    <w:basedOn w:val="TOC2"/>
    <w:next w:val="Normal"/>
    <w:autoRedefine/>
    <w:semiHidden/>
    <w:rsid w:val="007063C7"/>
    <w:pPr>
      <w:tabs>
        <w:tab w:val="clear" w:pos="9061"/>
        <w:tab w:val="right" w:leader="dot" w:pos="9060"/>
      </w:tabs>
      <w:ind w:left="1134"/>
    </w:pPr>
  </w:style>
  <w:style w:type="paragraph" w:customStyle="1" w:styleId="Footnote">
    <w:name w:val="Footnote"/>
    <w:next w:val="Normal"/>
    <w:rsid w:val="0020392F"/>
    <w:pPr>
      <w:spacing w:before="60" w:after="60"/>
    </w:pPr>
    <w:rPr>
      <w:rFonts w:ascii="Verdana" w:hAnsi="Verdana" w:cs="Arial"/>
      <w:bCs/>
      <w:kern w:val="28"/>
      <w:sz w:val="16"/>
      <w:szCs w:val="16"/>
    </w:rPr>
  </w:style>
  <w:style w:type="paragraph" w:styleId="FootnoteText">
    <w:name w:val="footnote text"/>
    <w:basedOn w:val="Normal"/>
    <w:link w:val="FootnoteTextChar"/>
    <w:rsid w:val="000A1FE0"/>
    <w:pPr>
      <w:spacing w:before="0"/>
    </w:pPr>
    <w:rPr>
      <w:sz w:val="16"/>
      <w:szCs w:val="20"/>
    </w:rPr>
  </w:style>
  <w:style w:type="character" w:customStyle="1" w:styleId="FootnoteTextChar">
    <w:name w:val="Footnote Text Char"/>
    <w:basedOn w:val="DefaultParagraphFont"/>
    <w:link w:val="FootnoteText"/>
    <w:rsid w:val="000A1FE0"/>
    <w:rPr>
      <w:rFonts w:ascii="Verdana" w:hAnsi="Verdana"/>
      <w:sz w:val="16"/>
    </w:rPr>
  </w:style>
  <w:style w:type="paragraph" w:styleId="BalloonText">
    <w:name w:val="Balloon Text"/>
    <w:basedOn w:val="Normal"/>
    <w:link w:val="BalloonTextChar"/>
    <w:rsid w:val="0035227C"/>
    <w:pPr>
      <w:spacing w:before="0"/>
    </w:pPr>
    <w:rPr>
      <w:rFonts w:ascii="Tahoma" w:hAnsi="Tahoma" w:cs="Tahoma"/>
      <w:sz w:val="16"/>
      <w:szCs w:val="16"/>
    </w:rPr>
  </w:style>
  <w:style w:type="character" w:customStyle="1" w:styleId="BalloonTextChar">
    <w:name w:val="Balloon Text Char"/>
    <w:basedOn w:val="DefaultParagraphFont"/>
    <w:link w:val="BalloonText"/>
    <w:rsid w:val="003522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FE0"/>
    <w:pPr>
      <w:spacing w:before="240"/>
    </w:pPr>
    <w:rPr>
      <w:rFonts w:ascii="Verdana" w:hAnsi="Verdana"/>
      <w:szCs w:val="24"/>
    </w:rPr>
  </w:style>
  <w:style w:type="paragraph" w:styleId="Heading1">
    <w:name w:val="heading 1"/>
    <w:basedOn w:val="Normal"/>
    <w:next w:val="Normal"/>
    <w:qFormat/>
    <w:rsid w:val="00DB1FB3"/>
    <w:pPr>
      <w:keepNext/>
      <w:pageBreakBefore/>
      <w:spacing w:before="2400" w:after="60"/>
      <w:jc w:val="center"/>
      <w:outlineLvl w:val="0"/>
    </w:pPr>
    <w:rPr>
      <w:rFonts w:cs="Arial"/>
      <w:b/>
      <w:bCs/>
      <w:caps/>
      <w:kern w:val="32"/>
      <w:sz w:val="32"/>
      <w:szCs w:val="32"/>
    </w:rPr>
  </w:style>
  <w:style w:type="paragraph" w:styleId="Heading2">
    <w:name w:val="heading 2"/>
    <w:basedOn w:val="Normal"/>
    <w:next w:val="Normal"/>
    <w:qFormat/>
    <w:rsid w:val="007E6713"/>
    <w:pPr>
      <w:keepNext/>
      <w:spacing w:after="60"/>
      <w:outlineLvl w:val="1"/>
    </w:pPr>
    <w:rPr>
      <w:rFonts w:cs="Arial"/>
      <w:b/>
      <w:bCs/>
      <w:iCs/>
      <w:sz w:val="32"/>
      <w:szCs w:val="28"/>
    </w:rPr>
  </w:style>
  <w:style w:type="paragraph" w:styleId="Heading3">
    <w:name w:val="heading 3"/>
    <w:basedOn w:val="Heading2"/>
    <w:next w:val="Normal"/>
    <w:qFormat/>
    <w:rsid w:val="007E6713"/>
    <w:pPr>
      <w:outlineLvl w:val="2"/>
    </w:pPr>
    <w:rPr>
      <w:bCs w:val="0"/>
      <w:sz w:val="28"/>
      <w:szCs w:val="26"/>
    </w:rPr>
  </w:style>
  <w:style w:type="paragraph" w:styleId="Heading4">
    <w:name w:val="heading 4"/>
    <w:basedOn w:val="Normal"/>
    <w:next w:val="Normal"/>
    <w:qFormat/>
    <w:rsid w:val="007E6713"/>
    <w:pPr>
      <w:keepNext/>
      <w:numPr>
        <w:ilvl w:val="3"/>
        <w:numId w:val="11"/>
      </w:numPr>
      <w:spacing w:after="60"/>
      <w:outlineLvl w:val="3"/>
    </w:pPr>
    <w:rPr>
      <w:b/>
      <w:bCs/>
      <w:sz w:val="24"/>
    </w:rPr>
  </w:style>
  <w:style w:type="paragraph" w:styleId="Heading5">
    <w:name w:val="heading 5"/>
    <w:basedOn w:val="Normal"/>
    <w:next w:val="Normal"/>
    <w:qFormat/>
    <w:rsid w:val="007E6713"/>
    <w:pPr>
      <w:spacing w:after="60"/>
      <w:outlineLvl w:val="4"/>
    </w:pPr>
    <w:rPr>
      <w:b/>
      <w:bCs/>
      <w:iCs/>
      <w:szCs w:val="20"/>
    </w:rPr>
  </w:style>
  <w:style w:type="paragraph" w:styleId="Heading6">
    <w:name w:val="heading 6"/>
    <w:basedOn w:val="Normal"/>
    <w:next w:val="Normal"/>
    <w:qFormat/>
    <w:rsid w:val="002560C6"/>
    <w:pPr>
      <w:numPr>
        <w:ilvl w:val="5"/>
        <w:numId w:val="20"/>
      </w:numPr>
      <w:spacing w:after="60"/>
      <w:outlineLvl w:val="5"/>
    </w:pPr>
    <w:rPr>
      <w:b/>
      <w:bCs/>
      <w:sz w:val="22"/>
      <w:szCs w:val="22"/>
    </w:rPr>
  </w:style>
  <w:style w:type="paragraph" w:styleId="Heading7">
    <w:name w:val="heading 7"/>
    <w:basedOn w:val="Normal"/>
    <w:next w:val="Normal"/>
    <w:qFormat/>
    <w:rsid w:val="002560C6"/>
    <w:pPr>
      <w:numPr>
        <w:ilvl w:val="6"/>
        <w:numId w:val="20"/>
      </w:numPr>
      <w:spacing w:after="60"/>
      <w:outlineLvl w:val="6"/>
    </w:pPr>
  </w:style>
  <w:style w:type="paragraph" w:styleId="Heading8">
    <w:name w:val="heading 8"/>
    <w:basedOn w:val="Normal"/>
    <w:next w:val="Normal"/>
    <w:qFormat/>
    <w:rsid w:val="002560C6"/>
    <w:pPr>
      <w:numPr>
        <w:ilvl w:val="7"/>
        <w:numId w:val="20"/>
      </w:numPr>
      <w:spacing w:after="60"/>
      <w:outlineLvl w:val="7"/>
    </w:pPr>
    <w:rPr>
      <w:i/>
      <w:iCs/>
    </w:rPr>
  </w:style>
  <w:style w:type="paragraph" w:styleId="Heading9">
    <w:name w:val="heading 9"/>
    <w:basedOn w:val="Normal"/>
    <w:next w:val="Normal"/>
    <w:qFormat/>
    <w:rsid w:val="002560C6"/>
    <w:pPr>
      <w:numPr>
        <w:ilvl w:val="8"/>
        <w:numId w:val="20"/>
      </w:numPr>
      <w:spacing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rsid w:val="004A5FC0"/>
    <w:pPr>
      <w:numPr>
        <w:numId w:val="3"/>
      </w:numPr>
      <w:tabs>
        <w:tab w:val="clear" w:pos="1699"/>
        <w:tab w:val="left" w:pos="720"/>
        <w:tab w:val="left" w:pos="1440"/>
        <w:tab w:val="left" w:pos="2160"/>
      </w:tabs>
      <w:ind w:left="2160" w:hanging="720"/>
    </w:pPr>
  </w:style>
  <w:style w:type="character" w:customStyle="1" w:styleId="Hints">
    <w:name w:val="Hints"/>
    <w:semiHidden/>
    <w:rsid w:val="0024639A"/>
    <w:rPr>
      <w:noProof/>
      <w:color w:val="FF0000"/>
    </w:rPr>
  </w:style>
  <w:style w:type="paragraph" w:styleId="Header">
    <w:name w:val="header"/>
    <w:basedOn w:val="Normal"/>
    <w:semiHidden/>
    <w:rsid w:val="00FC4C9F"/>
    <w:pPr>
      <w:tabs>
        <w:tab w:val="center" w:pos="4153"/>
        <w:tab w:val="right" w:pos="8306"/>
      </w:tabs>
      <w:spacing w:before="0"/>
    </w:pPr>
    <w:rPr>
      <w:i/>
      <w:sz w:val="16"/>
    </w:rPr>
  </w:style>
  <w:style w:type="table" w:styleId="TableGrid">
    <w:name w:val="Table Grid"/>
    <w:basedOn w:val="TableNormal"/>
    <w:semiHidden/>
    <w:rsid w:val="007C54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autoRedefine/>
    <w:semiHidden/>
    <w:rsid w:val="007063C7"/>
    <w:pPr>
      <w:tabs>
        <w:tab w:val="right" w:leader="dot" w:pos="9061"/>
      </w:tabs>
    </w:pPr>
    <w:rPr>
      <w:b/>
    </w:rPr>
  </w:style>
  <w:style w:type="paragraph" w:styleId="TOC2">
    <w:name w:val="toc 2"/>
    <w:basedOn w:val="Normal"/>
    <w:autoRedefine/>
    <w:semiHidden/>
    <w:rsid w:val="007063C7"/>
    <w:pPr>
      <w:tabs>
        <w:tab w:val="right" w:leader="dot" w:pos="9061"/>
      </w:tabs>
      <w:spacing w:before="0"/>
      <w:ind w:left="567"/>
    </w:pPr>
  </w:style>
  <w:style w:type="paragraph" w:styleId="ListNumber3">
    <w:name w:val="List Number 3"/>
    <w:basedOn w:val="Normal"/>
    <w:rsid w:val="00C76580"/>
    <w:pPr>
      <w:numPr>
        <w:numId w:val="8"/>
      </w:numPr>
    </w:pPr>
  </w:style>
  <w:style w:type="paragraph" w:customStyle="1" w:styleId="Sub-subtitle">
    <w:name w:val="Sub-subtitle"/>
    <w:basedOn w:val="Subtitle"/>
    <w:next w:val="Normal"/>
    <w:rsid w:val="000D101F"/>
    <w:rPr>
      <w:sz w:val="24"/>
    </w:rPr>
  </w:style>
  <w:style w:type="paragraph" w:styleId="Subtitle">
    <w:name w:val="Subtitle"/>
    <w:basedOn w:val="Normal"/>
    <w:next w:val="Sub-subtitle"/>
    <w:qFormat/>
    <w:rsid w:val="0035403C"/>
    <w:pPr>
      <w:spacing w:before="2400"/>
      <w:jc w:val="center"/>
      <w:outlineLvl w:val="1"/>
    </w:pPr>
    <w:rPr>
      <w:rFonts w:cs="Arial"/>
      <w:b/>
      <w:caps/>
      <w:sz w:val="28"/>
      <w:szCs w:val="28"/>
    </w:rPr>
  </w:style>
  <w:style w:type="paragraph" w:customStyle="1" w:styleId="Contents">
    <w:name w:val="Contents"/>
    <w:basedOn w:val="Heading2"/>
    <w:next w:val="Normal"/>
    <w:rsid w:val="000C1A3F"/>
  </w:style>
  <w:style w:type="paragraph" w:customStyle="1" w:styleId="TableText">
    <w:name w:val="Table Text"/>
    <w:basedOn w:val="Normal"/>
    <w:rsid w:val="00FC4C9F"/>
    <w:pPr>
      <w:spacing w:before="80" w:after="80"/>
    </w:pPr>
  </w:style>
  <w:style w:type="paragraph" w:customStyle="1" w:styleId="TableHeading">
    <w:name w:val="Table Heading"/>
    <w:basedOn w:val="TableText"/>
    <w:rsid w:val="0092079A"/>
    <w:pPr>
      <w:keepNext/>
    </w:pPr>
    <w:rPr>
      <w:b/>
    </w:rPr>
  </w:style>
  <w:style w:type="paragraph" w:customStyle="1" w:styleId="TableCaption">
    <w:name w:val="Table Caption"/>
    <w:basedOn w:val="Normal"/>
    <w:next w:val="Normal"/>
    <w:rsid w:val="00FC4C9F"/>
    <w:pPr>
      <w:keepNext/>
      <w:spacing w:after="240"/>
    </w:pPr>
    <w:rPr>
      <w:b/>
    </w:rPr>
  </w:style>
  <w:style w:type="paragraph" w:customStyle="1" w:styleId="Figure">
    <w:name w:val="Figure"/>
    <w:basedOn w:val="Normal"/>
    <w:next w:val="ListBullet3"/>
    <w:rsid w:val="00626CC3"/>
  </w:style>
  <w:style w:type="paragraph" w:customStyle="1" w:styleId="FigureCaption">
    <w:name w:val="Figure Caption"/>
    <w:basedOn w:val="Normal"/>
    <w:next w:val="Figure"/>
    <w:rsid w:val="00FC4C9F"/>
    <w:pPr>
      <w:keepNext/>
      <w:spacing w:after="240"/>
    </w:pPr>
    <w:rPr>
      <w:b/>
    </w:rPr>
  </w:style>
  <w:style w:type="paragraph" w:customStyle="1" w:styleId="SectionHeading">
    <w:name w:val="Section Heading"/>
    <w:basedOn w:val="Normal"/>
    <w:next w:val="Heading2"/>
    <w:semiHidden/>
    <w:rsid w:val="00FC4C9F"/>
    <w:rPr>
      <w:b/>
      <w:sz w:val="24"/>
    </w:rPr>
  </w:style>
  <w:style w:type="paragraph" w:styleId="Footer">
    <w:name w:val="footer"/>
    <w:basedOn w:val="Normal"/>
    <w:semiHidden/>
    <w:rsid w:val="00FC4C9F"/>
    <w:pPr>
      <w:tabs>
        <w:tab w:val="center" w:pos="4153"/>
        <w:tab w:val="right" w:pos="8306"/>
      </w:tabs>
    </w:pPr>
    <w:rPr>
      <w:sz w:val="16"/>
    </w:rPr>
  </w:style>
  <w:style w:type="paragraph" w:styleId="ListBullet">
    <w:name w:val="List Bullet"/>
    <w:basedOn w:val="Normal"/>
    <w:rsid w:val="00904089"/>
    <w:pPr>
      <w:numPr>
        <w:numId w:val="1"/>
      </w:numPr>
      <w:tabs>
        <w:tab w:val="clear" w:pos="567"/>
        <w:tab w:val="left" w:pos="720"/>
      </w:tabs>
      <w:ind w:left="720" w:hanging="720"/>
    </w:pPr>
  </w:style>
  <w:style w:type="paragraph" w:styleId="ListBullet2">
    <w:name w:val="List Bullet 2"/>
    <w:basedOn w:val="ListBullet"/>
    <w:rsid w:val="00904089"/>
    <w:pPr>
      <w:numPr>
        <w:numId w:val="2"/>
      </w:numPr>
      <w:tabs>
        <w:tab w:val="clear" w:pos="567"/>
        <w:tab w:val="left" w:pos="1440"/>
      </w:tabs>
      <w:ind w:left="1440" w:hanging="720"/>
    </w:pPr>
  </w:style>
  <w:style w:type="paragraph" w:styleId="ListNumber">
    <w:name w:val="List Number"/>
    <w:basedOn w:val="Normal"/>
    <w:rsid w:val="00FC4C9F"/>
    <w:pPr>
      <w:numPr>
        <w:numId w:val="6"/>
      </w:numPr>
    </w:pPr>
  </w:style>
  <w:style w:type="paragraph" w:styleId="ListNumber2">
    <w:name w:val="List Number 2"/>
    <w:basedOn w:val="Normal"/>
    <w:rsid w:val="00D0029A"/>
    <w:pPr>
      <w:numPr>
        <w:numId w:val="7"/>
      </w:numPr>
    </w:pPr>
  </w:style>
  <w:style w:type="paragraph" w:styleId="TableofFigures">
    <w:name w:val="table of figures"/>
    <w:basedOn w:val="TOC2"/>
    <w:next w:val="Normal"/>
    <w:semiHidden/>
    <w:rsid w:val="0092079A"/>
    <w:pPr>
      <w:ind w:left="0"/>
    </w:pPr>
  </w:style>
  <w:style w:type="paragraph" w:customStyle="1" w:styleId="Heading1-nonumbering">
    <w:name w:val="Heading 1 - no numbering"/>
    <w:basedOn w:val="Heading1"/>
    <w:next w:val="Normal"/>
    <w:semiHidden/>
    <w:rsid w:val="0007752B"/>
  </w:style>
  <w:style w:type="paragraph" w:styleId="TOC3">
    <w:name w:val="toc 3"/>
    <w:basedOn w:val="TOC2"/>
    <w:next w:val="Normal"/>
    <w:autoRedefine/>
    <w:semiHidden/>
    <w:rsid w:val="007063C7"/>
    <w:pPr>
      <w:tabs>
        <w:tab w:val="clear" w:pos="9061"/>
        <w:tab w:val="right" w:leader="dot" w:pos="9060"/>
      </w:tabs>
      <w:ind w:left="1134"/>
    </w:pPr>
  </w:style>
  <w:style w:type="paragraph" w:customStyle="1" w:styleId="Footnote">
    <w:name w:val="Footnote"/>
    <w:next w:val="Normal"/>
    <w:rsid w:val="0020392F"/>
    <w:pPr>
      <w:spacing w:before="60" w:after="60"/>
    </w:pPr>
    <w:rPr>
      <w:rFonts w:ascii="Verdana" w:hAnsi="Verdana" w:cs="Arial"/>
      <w:bCs/>
      <w:kern w:val="28"/>
      <w:sz w:val="16"/>
      <w:szCs w:val="16"/>
    </w:rPr>
  </w:style>
  <w:style w:type="paragraph" w:styleId="FootnoteText">
    <w:name w:val="footnote text"/>
    <w:basedOn w:val="Normal"/>
    <w:link w:val="FootnoteTextChar"/>
    <w:rsid w:val="000A1FE0"/>
    <w:pPr>
      <w:spacing w:before="0"/>
    </w:pPr>
    <w:rPr>
      <w:sz w:val="16"/>
      <w:szCs w:val="20"/>
    </w:rPr>
  </w:style>
  <w:style w:type="character" w:customStyle="1" w:styleId="FootnoteTextChar">
    <w:name w:val="Footnote Text Char"/>
    <w:basedOn w:val="DefaultParagraphFont"/>
    <w:link w:val="FootnoteText"/>
    <w:rsid w:val="000A1FE0"/>
    <w:rPr>
      <w:rFonts w:ascii="Verdana" w:hAnsi="Verdana"/>
      <w:sz w:val="16"/>
    </w:rPr>
  </w:style>
  <w:style w:type="paragraph" w:styleId="BalloonText">
    <w:name w:val="Balloon Text"/>
    <w:basedOn w:val="Normal"/>
    <w:link w:val="BalloonTextChar"/>
    <w:rsid w:val="0035227C"/>
    <w:pPr>
      <w:spacing w:before="0"/>
    </w:pPr>
    <w:rPr>
      <w:rFonts w:ascii="Tahoma" w:hAnsi="Tahoma" w:cs="Tahoma"/>
      <w:sz w:val="16"/>
      <w:szCs w:val="16"/>
    </w:rPr>
  </w:style>
  <w:style w:type="character" w:customStyle="1" w:styleId="BalloonTextChar">
    <w:name w:val="Balloon Text Char"/>
    <w:basedOn w:val="DefaultParagraphFont"/>
    <w:link w:val="BalloonText"/>
    <w:rsid w:val="003522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2014017%20-%20Cancer%20Bureau%20Work\Template\Cancer%20Australia%20report%20template%20-%20no%20numberi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6B48C-4F04-4019-9511-5E170713F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Cancer Australia report template - no numbering.dotm</Template>
  <TotalTime>8</TotalTime>
  <Pages>4</Pages>
  <Words>771</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Shared follow-up care</vt:lpstr>
    </vt:vector>
  </TitlesOfParts>
  <Company/>
  <LinksUpToDate>false</LinksUpToDate>
  <CharactersWithSpaces>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Roles and responsibilities of the shared care clinical team</dc:title>
  <dc:creator>Systemik</dc:creator>
  <cp:lastModifiedBy>Office</cp:lastModifiedBy>
  <cp:revision>7</cp:revision>
  <dcterms:created xsi:type="dcterms:W3CDTF">2015-01-20T05:07:00Z</dcterms:created>
  <dcterms:modified xsi:type="dcterms:W3CDTF">2015-02-04T01:56:00Z</dcterms:modified>
</cp:coreProperties>
</file>