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3B59" w14:textId="77777777" w:rsidR="00A058B4" w:rsidRPr="00A058B4" w:rsidRDefault="00A058B4" w:rsidP="00EA4B23">
      <w:pPr>
        <w:rPr>
          <w:rFonts w:ascii="Century Gothic" w:eastAsia="Times New Roman" w:hAnsi="Century Gothic" w:cs="Helvetica"/>
          <w:b/>
          <w:color w:val="000000"/>
          <w:kern w:val="36"/>
          <w:sz w:val="28"/>
          <w:szCs w:val="28"/>
          <w:lang w:eastAsia="en-AU"/>
        </w:rPr>
      </w:pPr>
      <w:r w:rsidRPr="00A058B4">
        <w:rPr>
          <w:rFonts w:ascii="Century Gothic" w:eastAsia="Times New Roman" w:hAnsi="Century Gothic" w:cs="Helvetica"/>
          <w:b/>
          <w:color w:val="000000"/>
          <w:kern w:val="36"/>
          <w:sz w:val="28"/>
          <w:szCs w:val="28"/>
          <w:lang w:eastAsia="en-AU"/>
        </w:rPr>
        <w:t>Public Interest Disclosure</w:t>
      </w:r>
    </w:p>
    <w:p w14:paraId="090391FD" w14:textId="77777777" w:rsidR="00A058B4" w:rsidRPr="00A058B4" w:rsidRDefault="00A058B4" w:rsidP="00A058B4">
      <w:pPr>
        <w:spacing w:before="240" w:after="240" w:line="300" w:lineRule="atLeast"/>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 xml:space="preserve">The </w:t>
      </w:r>
      <w:hyperlink r:id="rId6" w:history="1">
        <w:r w:rsidRPr="00A058B4">
          <w:rPr>
            <w:rFonts w:ascii="Century Gothic" w:eastAsia="Times New Roman" w:hAnsi="Century Gothic" w:cs="Helvetica"/>
            <w:color w:val="0000FF"/>
            <w:sz w:val="20"/>
            <w:szCs w:val="20"/>
            <w:u w:val="single"/>
            <w:lang w:eastAsia="en-AU"/>
          </w:rPr>
          <w:t>Public Interest Disclosure Act 2013</w:t>
        </w:r>
      </w:hyperlink>
      <w:r w:rsidRPr="00A058B4">
        <w:rPr>
          <w:rFonts w:ascii="Century Gothic" w:eastAsia="Times New Roman" w:hAnsi="Century Gothic" w:cs="Helvetica"/>
          <w:color w:val="222222"/>
          <w:sz w:val="20"/>
          <w:szCs w:val="20"/>
          <w:lang w:eastAsia="en-AU"/>
        </w:rPr>
        <w:t xml:space="preserve"> (PID) commenced on 15 January 2014. The Act provides an avenue for public officials to make a disclosure that they reasonably believe meets the definition of disclosable conduct. The Act also aims to promote the integrity and accountability of the Commonwealth public sector by:</w:t>
      </w:r>
    </w:p>
    <w:p w14:paraId="6904436A" w14:textId="77777777" w:rsidR="00A058B4" w:rsidRPr="00A058B4" w:rsidRDefault="00A058B4" w:rsidP="00A058B4">
      <w:pPr>
        <w:numPr>
          <w:ilvl w:val="0"/>
          <w:numId w:val="1"/>
        </w:numPr>
        <w:spacing w:after="90" w:line="300" w:lineRule="atLeast"/>
        <w:ind w:left="0"/>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 xml:space="preserve">encouraging the disclosure of information by public officials about suspected wrongdoing in the public sector; </w:t>
      </w:r>
    </w:p>
    <w:p w14:paraId="639B35AA" w14:textId="77777777" w:rsidR="00A058B4" w:rsidRPr="00A058B4" w:rsidRDefault="00A058B4" w:rsidP="00A058B4">
      <w:pPr>
        <w:numPr>
          <w:ilvl w:val="0"/>
          <w:numId w:val="1"/>
        </w:numPr>
        <w:spacing w:after="90" w:line="300" w:lineRule="atLeast"/>
        <w:ind w:left="0"/>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 xml:space="preserve">ensuring that public officials who make disclosures are supported and protected from adverse consequences; and </w:t>
      </w:r>
    </w:p>
    <w:p w14:paraId="546693C6" w14:textId="77777777" w:rsidR="00A058B4" w:rsidRPr="00A058B4" w:rsidRDefault="00A058B4" w:rsidP="00A058B4">
      <w:pPr>
        <w:numPr>
          <w:ilvl w:val="0"/>
          <w:numId w:val="1"/>
        </w:numPr>
        <w:spacing w:after="90" w:line="300" w:lineRule="atLeast"/>
        <w:ind w:left="0"/>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ensuring that disclosures are properly investigated.</w:t>
      </w:r>
    </w:p>
    <w:p w14:paraId="7E3FE4AC" w14:textId="77777777" w:rsidR="00A058B4" w:rsidRPr="00A058B4" w:rsidRDefault="00A058B4" w:rsidP="00A058B4">
      <w:pPr>
        <w:spacing w:before="240" w:after="120" w:line="240" w:lineRule="auto"/>
        <w:outlineLvl w:val="1"/>
        <w:rPr>
          <w:rFonts w:ascii="Century Gothic" w:eastAsia="Times New Roman" w:hAnsi="Century Gothic" w:cs="Helvetica"/>
          <w:b/>
          <w:color w:val="000000"/>
          <w:sz w:val="24"/>
          <w:szCs w:val="24"/>
          <w:lang w:eastAsia="en-AU"/>
        </w:rPr>
      </w:pPr>
      <w:r w:rsidRPr="00A058B4">
        <w:rPr>
          <w:rFonts w:ascii="Century Gothic" w:eastAsia="Times New Roman" w:hAnsi="Century Gothic" w:cs="Helvetica"/>
          <w:b/>
          <w:color w:val="000000"/>
          <w:sz w:val="24"/>
          <w:szCs w:val="24"/>
          <w:lang w:eastAsia="en-AU"/>
        </w:rPr>
        <w:t>What is disclosable conduct?</w:t>
      </w:r>
    </w:p>
    <w:p w14:paraId="7434A134" w14:textId="77777777" w:rsidR="00A058B4" w:rsidRPr="00A058B4" w:rsidRDefault="00A058B4" w:rsidP="00A058B4">
      <w:pPr>
        <w:spacing w:after="240" w:line="300" w:lineRule="atLeast"/>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 xml:space="preserve">This means conduct by an agency, public official or a contracted Commonwealth service provider that: </w:t>
      </w:r>
    </w:p>
    <w:p w14:paraId="22193883" w14:textId="77777777" w:rsidR="00A058B4" w:rsidRPr="00A058B4" w:rsidRDefault="00A058B4" w:rsidP="00A058B4">
      <w:pPr>
        <w:numPr>
          <w:ilvl w:val="0"/>
          <w:numId w:val="2"/>
        </w:numPr>
        <w:spacing w:after="90" w:line="300" w:lineRule="atLeast"/>
        <w:ind w:left="0"/>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 xml:space="preserve">contravenes a law </w:t>
      </w:r>
    </w:p>
    <w:p w14:paraId="3C99AD5E" w14:textId="77777777" w:rsidR="00A058B4" w:rsidRPr="00A058B4" w:rsidRDefault="00A058B4" w:rsidP="00A058B4">
      <w:pPr>
        <w:numPr>
          <w:ilvl w:val="0"/>
          <w:numId w:val="2"/>
        </w:numPr>
        <w:spacing w:after="90" w:line="300" w:lineRule="atLeast"/>
        <w:ind w:left="0"/>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 xml:space="preserve">is corrupt </w:t>
      </w:r>
    </w:p>
    <w:p w14:paraId="6E9CB654" w14:textId="77777777" w:rsidR="00A058B4" w:rsidRPr="00A058B4" w:rsidRDefault="00A058B4" w:rsidP="00A058B4">
      <w:pPr>
        <w:numPr>
          <w:ilvl w:val="0"/>
          <w:numId w:val="2"/>
        </w:numPr>
        <w:spacing w:after="90" w:line="300" w:lineRule="atLeast"/>
        <w:ind w:left="0"/>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 xml:space="preserve">perverts the course of justice </w:t>
      </w:r>
    </w:p>
    <w:p w14:paraId="0D0BA3CA" w14:textId="77777777" w:rsidR="00A058B4" w:rsidRPr="00A058B4" w:rsidRDefault="00A058B4" w:rsidP="00A058B4">
      <w:pPr>
        <w:numPr>
          <w:ilvl w:val="0"/>
          <w:numId w:val="2"/>
        </w:numPr>
        <w:spacing w:after="90" w:line="300" w:lineRule="atLeast"/>
        <w:ind w:left="0"/>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 xml:space="preserve">results in wastage of public funds or property </w:t>
      </w:r>
    </w:p>
    <w:p w14:paraId="129725D2" w14:textId="77777777" w:rsidR="00A058B4" w:rsidRPr="00A058B4" w:rsidRDefault="00A058B4" w:rsidP="00A058B4">
      <w:pPr>
        <w:numPr>
          <w:ilvl w:val="0"/>
          <w:numId w:val="2"/>
        </w:numPr>
        <w:spacing w:after="90" w:line="300" w:lineRule="atLeast"/>
        <w:ind w:left="0"/>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 xml:space="preserve">is an abuse of public trust </w:t>
      </w:r>
    </w:p>
    <w:p w14:paraId="4B92ADEC" w14:textId="77777777" w:rsidR="00A058B4" w:rsidRPr="00A058B4" w:rsidRDefault="00A058B4" w:rsidP="00A058B4">
      <w:pPr>
        <w:numPr>
          <w:ilvl w:val="0"/>
          <w:numId w:val="2"/>
        </w:numPr>
        <w:spacing w:after="90" w:line="300" w:lineRule="atLeast"/>
        <w:ind w:left="0"/>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 xml:space="preserve">unreasonably endangers health and safety or endangers the environment </w:t>
      </w:r>
    </w:p>
    <w:p w14:paraId="55271F42" w14:textId="77777777" w:rsidR="00A058B4" w:rsidRPr="00A058B4" w:rsidRDefault="00A058B4" w:rsidP="00A058B4">
      <w:pPr>
        <w:numPr>
          <w:ilvl w:val="0"/>
          <w:numId w:val="2"/>
        </w:numPr>
        <w:spacing w:after="90" w:line="300" w:lineRule="atLeast"/>
        <w:ind w:left="0"/>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 xml:space="preserve">is misconduct relating to scientific research, analysis or advice </w:t>
      </w:r>
    </w:p>
    <w:p w14:paraId="58E70FBA" w14:textId="77777777" w:rsidR="00A058B4" w:rsidRPr="00A058B4" w:rsidRDefault="00A058B4" w:rsidP="00A058B4">
      <w:pPr>
        <w:numPr>
          <w:ilvl w:val="0"/>
          <w:numId w:val="2"/>
        </w:numPr>
        <w:spacing w:after="90" w:line="300" w:lineRule="atLeast"/>
        <w:ind w:left="0"/>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is maladministration, including conduct that is unjust, oppressive or negligent</w:t>
      </w:r>
    </w:p>
    <w:p w14:paraId="335329DD" w14:textId="77777777" w:rsidR="00A058B4" w:rsidRPr="00A058B4" w:rsidRDefault="00A058B4" w:rsidP="00A058B4">
      <w:pPr>
        <w:spacing w:before="240" w:after="120" w:line="240" w:lineRule="auto"/>
        <w:outlineLvl w:val="1"/>
        <w:rPr>
          <w:rFonts w:ascii="Century Gothic" w:eastAsia="Times New Roman" w:hAnsi="Century Gothic" w:cs="Helvetica"/>
          <w:b/>
          <w:color w:val="000000"/>
          <w:sz w:val="24"/>
          <w:szCs w:val="24"/>
          <w:lang w:eastAsia="en-AU"/>
        </w:rPr>
      </w:pPr>
      <w:r w:rsidRPr="00A058B4">
        <w:rPr>
          <w:rFonts w:ascii="Century Gothic" w:eastAsia="Times New Roman" w:hAnsi="Century Gothic" w:cs="Helvetica"/>
          <w:b/>
          <w:color w:val="000000"/>
          <w:sz w:val="24"/>
          <w:szCs w:val="24"/>
          <w:lang w:eastAsia="en-AU"/>
        </w:rPr>
        <w:t>Who can make a disclosure?</w:t>
      </w:r>
    </w:p>
    <w:p w14:paraId="1879CE37" w14:textId="77777777" w:rsidR="00A058B4" w:rsidRPr="00A058B4" w:rsidRDefault="00A058B4" w:rsidP="00A058B4">
      <w:pPr>
        <w:spacing w:after="0" w:line="300" w:lineRule="atLeast"/>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A current or former ‘public official’ can disclose information that they believe on reasonable grounds tends to show disclosable conduct. This broad term includes Australian Government public servants and parliamentary service employees, members of the Defence force, staff and directors of Commonwealth companies, statutory office holders and staff of Commonwealth contracted service providers.</w:t>
      </w:r>
    </w:p>
    <w:p w14:paraId="13E8E009" w14:textId="77777777" w:rsidR="00A058B4" w:rsidRPr="00A058B4" w:rsidRDefault="00A058B4" w:rsidP="00A058B4">
      <w:pPr>
        <w:spacing w:before="240" w:after="120" w:line="240" w:lineRule="auto"/>
        <w:outlineLvl w:val="1"/>
        <w:rPr>
          <w:rFonts w:ascii="Century Gothic" w:eastAsia="Times New Roman" w:hAnsi="Century Gothic" w:cs="Helvetica"/>
          <w:b/>
          <w:color w:val="000000"/>
          <w:sz w:val="24"/>
          <w:szCs w:val="24"/>
          <w:lang w:eastAsia="en-AU"/>
        </w:rPr>
      </w:pPr>
      <w:r w:rsidRPr="00A058B4">
        <w:rPr>
          <w:rFonts w:ascii="Century Gothic" w:eastAsia="Times New Roman" w:hAnsi="Century Gothic" w:cs="Helvetica"/>
          <w:b/>
          <w:color w:val="000000"/>
          <w:sz w:val="24"/>
          <w:szCs w:val="24"/>
          <w:lang w:eastAsia="en-AU"/>
        </w:rPr>
        <w:t>Protections for the person who makes the disclosure</w:t>
      </w:r>
    </w:p>
    <w:p w14:paraId="67E77AC1" w14:textId="77777777" w:rsidR="00A058B4" w:rsidRPr="00A058B4" w:rsidRDefault="00A058B4" w:rsidP="00A058B4">
      <w:pPr>
        <w:spacing w:after="0" w:line="300" w:lineRule="atLeast"/>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 xml:space="preserve">The identity of a person who makes a disclosure will be kept confidential as far as practicable. It is an offence to provide identifying information about a person who makes a disclosure without their consent unless authorised by the </w:t>
      </w:r>
      <w:r w:rsidRPr="00A058B4">
        <w:rPr>
          <w:rFonts w:ascii="Century Gothic" w:eastAsia="Times New Roman" w:hAnsi="Century Gothic" w:cs="Helvetica"/>
          <w:i/>
          <w:iCs/>
          <w:color w:val="222222"/>
          <w:sz w:val="20"/>
          <w:szCs w:val="20"/>
          <w:lang w:eastAsia="en-AU"/>
        </w:rPr>
        <w:t>PID Act</w:t>
      </w:r>
      <w:r w:rsidRPr="00A058B4">
        <w:rPr>
          <w:rFonts w:ascii="Century Gothic" w:eastAsia="Times New Roman" w:hAnsi="Century Gothic" w:cs="Helvetica"/>
          <w:color w:val="222222"/>
          <w:sz w:val="20"/>
          <w:szCs w:val="20"/>
          <w:lang w:eastAsia="en-AU"/>
        </w:rPr>
        <w:t>.</w:t>
      </w:r>
    </w:p>
    <w:p w14:paraId="365D34E0" w14:textId="77777777" w:rsidR="00A058B4" w:rsidRPr="00A058B4" w:rsidRDefault="00A058B4" w:rsidP="00A058B4">
      <w:pPr>
        <w:spacing w:before="240" w:after="120" w:line="240" w:lineRule="auto"/>
        <w:outlineLvl w:val="1"/>
        <w:rPr>
          <w:rFonts w:ascii="Century Gothic" w:eastAsia="Times New Roman" w:hAnsi="Century Gothic" w:cs="Helvetica"/>
          <w:b/>
          <w:color w:val="000000"/>
          <w:sz w:val="24"/>
          <w:szCs w:val="24"/>
          <w:lang w:eastAsia="en-AU"/>
        </w:rPr>
      </w:pPr>
      <w:r w:rsidRPr="00A058B4">
        <w:rPr>
          <w:rFonts w:ascii="Century Gothic" w:eastAsia="Times New Roman" w:hAnsi="Century Gothic" w:cs="Helvetica"/>
          <w:b/>
          <w:color w:val="000000"/>
          <w:sz w:val="24"/>
          <w:szCs w:val="24"/>
          <w:lang w:eastAsia="en-AU"/>
        </w:rPr>
        <w:t>Authorised Officers</w:t>
      </w:r>
    </w:p>
    <w:p w14:paraId="30C24B65" w14:textId="2B47E066" w:rsidR="00A058B4" w:rsidRDefault="00A058B4" w:rsidP="00A058B4">
      <w:pPr>
        <w:spacing w:after="0" w:line="300" w:lineRule="atLeast"/>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Under the PID Act, each agency must appoint authorised officers to handle public interest disclosures. Disclosures can also be made to a supervisor/manager, who must pass it to an authorised officer. For the purposes of this Act the following staff have been appointed as authorised officers:</w:t>
      </w:r>
      <w:r w:rsidRPr="00A058B4">
        <w:rPr>
          <w:rFonts w:ascii="Century Gothic" w:eastAsia="Times New Roman" w:hAnsi="Century Gothic" w:cs="Helvetica"/>
          <w:color w:val="222222"/>
          <w:sz w:val="20"/>
          <w:szCs w:val="20"/>
          <w:lang w:eastAsia="en-AU"/>
        </w:rPr>
        <w:br/>
      </w:r>
      <w:r w:rsidRPr="00A058B4">
        <w:rPr>
          <w:rFonts w:ascii="Century Gothic" w:eastAsia="Times New Roman" w:hAnsi="Century Gothic" w:cs="Helvetica"/>
          <w:color w:val="222222"/>
          <w:sz w:val="20"/>
          <w:szCs w:val="20"/>
          <w:lang w:eastAsia="en-AU"/>
        </w:rPr>
        <w:lastRenderedPageBreak/>
        <w:br/>
      </w:r>
      <w:r w:rsidR="00CF30D2">
        <w:rPr>
          <w:rFonts w:ascii="Century Gothic" w:eastAsia="Times New Roman" w:hAnsi="Century Gothic" w:cs="Helvetica"/>
          <w:color w:val="222222"/>
          <w:sz w:val="20"/>
          <w:szCs w:val="20"/>
          <w:lang w:eastAsia="en-AU"/>
        </w:rPr>
        <w:t>Elmer Wiegold</w:t>
      </w:r>
      <w:r w:rsidRPr="00A058B4">
        <w:rPr>
          <w:rFonts w:ascii="Century Gothic" w:eastAsia="Times New Roman" w:hAnsi="Century Gothic" w:cs="Helvetica"/>
          <w:color w:val="222222"/>
          <w:sz w:val="20"/>
          <w:szCs w:val="20"/>
          <w:lang w:eastAsia="en-AU"/>
        </w:rPr>
        <w:t xml:space="preserve"> </w:t>
      </w:r>
      <w:r w:rsidRPr="00A058B4">
        <w:rPr>
          <w:rFonts w:ascii="Century Gothic" w:eastAsia="Times New Roman" w:hAnsi="Century Gothic" w:cs="Helvetica"/>
          <w:color w:val="222222"/>
          <w:sz w:val="20"/>
          <w:szCs w:val="20"/>
          <w:lang w:eastAsia="en-AU"/>
        </w:rPr>
        <w:br/>
        <w:t xml:space="preserve">(02) </w:t>
      </w:r>
      <w:r>
        <w:rPr>
          <w:rFonts w:ascii="Century Gothic" w:eastAsia="Times New Roman" w:hAnsi="Century Gothic" w:cs="Helvetica"/>
          <w:color w:val="222222"/>
          <w:sz w:val="20"/>
          <w:szCs w:val="20"/>
          <w:lang w:eastAsia="en-AU"/>
        </w:rPr>
        <w:t>9357 9431</w:t>
      </w:r>
      <w:r w:rsidRPr="00A058B4">
        <w:rPr>
          <w:rFonts w:ascii="Century Gothic" w:eastAsia="Times New Roman" w:hAnsi="Century Gothic" w:cs="Helvetica"/>
          <w:color w:val="222222"/>
          <w:sz w:val="20"/>
          <w:szCs w:val="20"/>
          <w:lang w:eastAsia="en-AU"/>
        </w:rPr>
        <w:br/>
      </w:r>
      <w:r w:rsidRPr="00A058B4">
        <w:rPr>
          <w:rFonts w:ascii="Century Gothic" w:eastAsia="Times New Roman" w:hAnsi="Century Gothic" w:cs="Helvetica"/>
          <w:color w:val="222222"/>
          <w:sz w:val="20"/>
          <w:szCs w:val="20"/>
          <w:lang w:eastAsia="en-AU"/>
        </w:rPr>
        <w:br/>
      </w:r>
      <w:r w:rsidR="00063AE3">
        <w:rPr>
          <w:rFonts w:ascii="Century Gothic" w:eastAsia="Times New Roman" w:hAnsi="Century Gothic" w:cs="Helvetica"/>
          <w:color w:val="222222"/>
          <w:sz w:val="20"/>
          <w:szCs w:val="20"/>
          <w:lang w:eastAsia="en-AU"/>
        </w:rPr>
        <w:t>Claire Howlett</w:t>
      </w:r>
      <w:r w:rsidRPr="00A058B4">
        <w:rPr>
          <w:rFonts w:ascii="Century Gothic" w:eastAsia="Times New Roman" w:hAnsi="Century Gothic" w:cs="Helvetica"/>
          <w:color w:val="222222"/>
          <w:sz w:val="20"/>
          <w:szCs w:val="20"/>
          <w:lang w:eastAsia="en-AU"/>
        </w:rPr>
        <w:br/>
        <w:t>(0</w:t>
      </w:r>
      <w:r w:rsidR="00063AE3">
        <w:rPr>
          <w:rFonts w:ascii="Century Gothic" w:eastAsia="Times New Roman" w:hAnsi="Century Gothic" w:cs="Helvetica"/>
          <w:color w:val="222222"/>
          <w:sz w:val="20"/>
          <w:szCs w:val="20"/>
          <w:lang w:eastAsia="en-AU"/>
        </w:rPr>
        <w:t>2</w:t>
      </w:r>
      <w:r w:rsidRPr="00A058B4">
        <w:rPr>
          <w:rFonts w:ascii="Century Gothic" w:eastAsia="Times New Roman" w:hAnsi="Century Gothic" w:cs="Helvetica"/>
          <w:color w:val="222222"/>
          <w:sz w:val="20"/>
          <w:szCs w:val="20"/>
          <w:lang w:eastAsia="en-AU"/>
        </w:rPr>
        <w:t xml:space="preserve">) </w:t>
      </w:r>
      <w:r w:rsidR="00063AE3">
        <w:rPr>
          <w:rFonts w:ascii="Century Gothic" w:eastAsia="Times New Roman" w:hAnsi="Century Gothic" w:cs="Helvetica"/>
          <w:color w:val="222222"/>
          <w:sz w:val="20"/>
          <w:szCs w:val="20"/>
          <w:lang w:eastAsia="en-AU"/>
        </w:rPr>
        <w:t>9357 9424</w:t>
      </w:r>
    </w:p>
    <w:p w14:paraId="28D32940" w14:textId="77777777" w:rsidR="00A058B4" w:rsidRDefault="00A058B4" w:rsidP="00A058B4">
      <w:pPr>
        <w:spacing w:after="0" w:line="300" w:lineRule="atLeast"/>
        <w:rPr>
          <w:rFonts w:ascii="Century Gothic" w:eastAsia="Times New Roman" w:hAnsi="Century Gothic" w:cs="Helvetica"/>
          <w:b/>
          <w:color w:val="000000"/>
          <w:sz w:val="24"/>
          <w:szCs w:val="24"/>
          <w:lang w:eastAsia="en-AU"/>
        </w:rPr>
      </w:pPr>
      <w:r w:rsidRPr="00A058B4">
        <w:rPr>
          <w:rFonts w:ascii="Century Gothic" w:eastAsia="Times New Roman" w:hAnsi="Century Gothic" w:cs="Helvetica"/>
          <w:color w:val="222222"/>
          <w:sz w:val="20"/>
          <w:szCs w:val="20"/>
          <w:lang w:eastAsia="en-AU"/>
        </w:rPr>
        <w:br/>
      </w:r>
      <w:r w:rsidRPr="00A058B4">
        <w:rPr>
          <w:rFonts w:ascii="Century Gothic" w:eastAsia="Times New Roman" w:hAnsi="Century Gothic" w:cs="Helvetica"/>
          <w:b/>
          <w:color w:val="000000"/>
          <w:sz w:val="24"/>
          <w:szCs w:val="24"/>
          <w:lang w:eastAsia="en-AU"/>
        </w:rPr>
        <w:t>Who can a disclosure be made to?</w:t>
      </w:r>
    </w:p>
    <w:p w14:paraId="47E241A2" w14:textId="77777777" w:rsidR="00A058B4" w:rsidRPr="00A058B4" w:rsidRDefault="00A058B4" w:rsidP="00A058B4">
      <w:pPr>
        <w:spacing w:after="0" w:line="300" w:lineRule="atLeast"/>
        <w:rPr>
          <w:rFonts w:ascii="Century Gothic" w:eastAsia="Times New Roman" w:hAnsi="Century Gothic" w:cs="Helvetica"/>
          <w:b/>
          <w:color w:val="000000"/>
          <w:sz w:val="24"/>
          <w:szCs w:val="24"/>
          <w:lang w:eastAsia="en-AU"/>
        </w:rPr>
      </w:pPr>
    </w:p>
    <w:p w14:paraId="4DFCC555" w14:textId="48AD55B6" w:rsidR="00A058B4" w:rsidRPr="00A058B4" w:rsidRDefault="00A058B4" w:rsidP="00A058B4">
      <w:pPr>
        <w:spacing w:after="0" w:line="300" w:lineRule="atLeast"/>
        <w:rPr>
          <w:rFonts w:ascii="Century Gothic" w:eastAsia="Times New Roman" w:hAnsi="Century Gothic" w:cs="Helvetica"/>
          <w:color w:val="222222"/>
          <w:sz w:val="20"/>
          <w:szCs w:val="20"/>
          <w:lang w:eastAsia="en-AU"/>
        </w:rPr>
      </w:pPr>
      <w:r w:rsidRPr="00A058B4">
        <w:rPr>
          <w:rFonts w:ascii="Century Gothic" w:eastAsia="Times New Roman" w:hAnsi="Century Gothic" w:cs="Helvetica"/>
          <w:color w:val="222222"/>
          <w:sz w:val="20"/>
          <w:szCs w:val="20"/>
          <w:lang w:eastAsia="en-AU"/>
        </w:rPr>
        <w:t xml:space="preserve">You can make a disclosure to your current supervisor or manager, an authorised officer, or alternatively to </w:t>
      </w:r>
      <w:hyperlink r:id="rId7" w:history="1">
        <w:r w:rsidR="00063AE3" w:rsidRPr="000E47B8">
          <w:rPr>
            <w:rStyle w:val="Hyperlink"/>
            <w:rFonts w:ascii="Century Gothic" w:eastAsia="Times New Roman" w:hAnsi="Century Gothic" w:cs="Helvetica"/>
            <w:sz w:val="20"/>
            <w:szCs w:val="20"/>
            <w:lang w:eastAsia="en-AU"/>
          </w:rPr>
          <w:t>corporate@canceraustralia.gov.au</w:t>
        </w:r>
      </w:hyperlink>
      <w:r w:rsidRPr="00A058B4">
        <w:rPr>
          <w:rFonts w:ascii="Century Gothic" w:eastAsia="Times New Roman" w:hAnsi="Century Gothic" w:cs="Helvetica"/>
          <w:color w:val="222222"/>
          <w:sz w:val="20"/>
          <w:szCs w:val="20"/>
          <w:lang w:eastAsia="en-AU"/>
        </w:rPr>
        <w:t xml:space="preserve"> </w:t>
      </w:r>
    </w:p>
    <w:p w14:paraId="752B33C7" w14:textId="77777777" w:rsidR="00A058B4" w:rsidRPr="00A058B4" w:rsidRDefault="00A058B4" w:rsidP="00A058B4">
      <w:pPr>
        <w:spacing w:before="240" w:line="240" w:lineRule="auto"/>
        <w:outlineLvl w:val="1"/>
        <w:rPr>
          <w:rFonts w:ascii="Century Gothic" w:eastAsia="Times New Roman" w:hAnsi="Century Gothic" w:cs="Helvetica"/>
          <w:b/>
          <w:color w:val="000000"/>
          <w:sz w:val="24"/>
          <w:szCs w:val="24"/>
          <w:lang w:eastAsia="en-AU"/>
        </w:rPr>
      </w:pPr>
      <w:r w:rsidRPr="00A058B4">
        <w:rPr>
          <w:rFonts w:ascii="Century Gothic" w:eastAsia="Times New Roman" w:hAnsi="Century Gothic" w:cs="Helvetica"/>
          <w:b/>
          <w:color w:val="000000"/>
          <w:sz w:val="24"/>
          <w:szCs w:val="24"/>
          <w:lang w:eastAsia="en-AU"/>
        </w:rPr>
        <w:t>Further information</w:t>
      </w:r>
    </w:p>
    <w:p w14:paraId="156E5AB2" w14:textId="0FAF6614" w:rsidR="00BB11F6" w:rsidRPr="00A058B4" w:rsidRDefault="00A058B4" w:rsidP="00A058B4">
      <w:pPr>
        <w:rPr>
          <w:rFonts w:ascii="Century Gothic" w:hAnsi="Century Gothic"/>
          <w:sz w:val="20"/>
          <w:szCs w:val="20"/>
        </w:rPr>
      </w:pPr>
      <w:r w:rsidRPr="00A058B4">
        <w:rPr>
          <w:rFonts w:ascii="Century Gothic" w:eastAsia="Times New Roman" w:hAnsi="Century Gothic" w:cs="Helvetica"/>
          <w:color w:val="222222"/>
          <w:sz w:val="20"/>
          <w:szCs w:val="20"/>
          <w:lang w:eastAsia="en-AU"/>
        </w:rPr>
        <w:t xml:space="preserve">Further information regarding the Public Interest Disclosure Act can be found on the </w:t>
      </w:r>
      <w:r w:rsidR="00063AE3">
        <w:rPr>
          <w:rFonts w:ascii="Century Gothic" w:eastAsia="Times New Roman" w:hAnsi="Century Gothic" w:cs="Helvetica"/>
          <w:color w:val="222222"/>
          <w:sz w:val="20"/>
          <w:szCs w:val="20"/>
          <w:lang w:eastAsia="en-AU"/>
        </w:rPr>
        <w:t xml:space="preserve">Commonwealth </w:t>
      </w:r>
      <w:r w:rsidRPr="00A058B4">
        <w:rPr>
          <w:rFonts w:ascii="Century Gothic" w:eastAsia="Times New Roman" w:hAnsi="Century Gothic" w:cs="Helvetica"/>
          <w:color w:val="222222"/>
          <w:sz w:val="20"/>
          <w:szCs w:val="20"/>
          <w:lang w:eastAsia="en-AU"/>
        </w:rPr>
        <w:t xml:space="preserve">Ombudsman’s </w:t>
      </w:r>
      <w:hyperlink r:id="rId8" w:history="1">
        <w:r w:rsidRPr="00A058B4">
          <w:rPr>
            <w:rFonts w:ascii="Century Gothic" w:eastAsia="Times New Roman" w:hAnsi="Century Gothic" w:cs="Helvetica"/>
            <w:color w:val="0000FF"/>
            <w:sz w:val="20"/>
            <w:szCs w:val="20"/>
            <w:u w:val="single"/>
            <w:lang w:eastAsia="en-AU"/>
          </w:rPr>
          <w:t>website.</w:t>
        </w:r>
      </w:hyperlink>
    </w:p>
    <w:sectPr w:rsidR="00BB11F6" w:rsidRPr="00A058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167"/>
    <w:multiLevelType w:val="multilevel"/>
    <w:tmpl w:val="8A54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95C00"/>
    <w:multiLevelType w:val="multilevel"/>
    <w:tmpl w:val="7438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8883232">
    <w:abstractNumId w:val="1"/>
  </w:num>
  <w:num w:numId="2" w16cid:durableId="180781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B4"/>
    <w:rsid w:val="00063AE3"/>
    <w:rsid w:val="000D30F4"/>
    <w:rsid w:val="001322F3"/>
    <w:rsid w:val="00A058B4"/>
    <w:rsid w:val="00A93A90"/>
    <w:rsid w:val="00BB11F6"/>
    <w:rsid w:val="00CF30D2"/>
    <w:rsid w:val="00EA2287"/>
    <w:rsid w:val="00EA4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12B6"/>
  <w15:docId w15:val="{D5BB0197-E1BF-426B-9BE5-0819D824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58B4"/>
    <w:pPr>
      <w:spacing w:after="330" w:line="240" w:lineRule="auto"/>
      <w:outlineLvl w:val="0"/>
    </w:pPr>
    <w:rPr>
      <w:rFonts w:ascii="Open Sans" w:eastAsia="Times New Roman" w:hAnsi="Open Sans" w:cs="Times New Roman"/>
      <w:color w:val="000000"/>
      <w:kern w:val="36"/>
      <w:sz w:val="39"/>
      <w:szCs w:val="39"/>
      <w:lang w:eastAsia="en-AU"/>
    </w:rPr>
  </w:style>
  <w:style w:type="paragraph" w:styleId="Heading2">
    <w:name w:val="heading 2"/>
    <w:basedOn w:val="Normal"/>
    <w:link w:val="Heading2Char"/>
    <w:uiPriority w:val="9"/>
    <w:qFormat/>
    <w:rsid w:val="00A058B4"/>
    <w:pPr>
      <w:spacing w:before="240" w:after="120" w:line="240" w:lineRule="auto"/>
      <w:outlineLvl w:val="1"/>
    </w:pPr>
    <w:rPr>
      <w:rFonts w:ascii="Open Sans" w:eastAsia="Times New Roman" w:hAnsi="Open Sans" w:cs="Times New Roman"/>
      <w:color w:val="000000"/>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8B4"/>
    <w:rPr>
      <w:rFonts w:ascii="Open Sans" w:eastAsia="Times New Roman" w:hAnsi="Open Sans" w:cs="Times New Roman"/>
      <w:color w:val="000000"/>
      <w:kern w:val="36"/>
      <w:sz w:val="39"/>
      <w:szCs w:val="39"/>
      <w:lang w:eastAsia="en-AU"/>
    </w:rPr>
  </w:style>
  <w:style w:type="character" w:customStyle="1" w:styleId="Heading2Char">
    <w:name w:val="Heading 2 Char"/>
    <w:basedOn w:val="DefaultParagraphFont"/>
    <w:link w:val="Heading2"/>
    <w:uiPriority w:val="9"/>
    <w:rsid w:val="00A058B4"/>
    <w:rPr>
      <w:rFonts w:ascii="Open Sans" w:eastAsia="Times New Roman" w:hAnsi="Open Sans" w:cs="Times New Roman"/>
      <w:color w:val="000000"/>
      <w:sz w:val="33"/>
      <w:szCs w:val="33"/>
      <w:lang w:eastAsia="en-AU"/>
    </w:rPr>
  </w:style>
  <w:style w:type="paragraph" w:customStyle="1" w:styleId="publish-date1">
    <w:name w:val="publish-date1"/>
    <w:basedOn w:val="Normal"/>
    <w:rsid w:val="00A058B4"/>
    <w:pPr>
      <w:spacing w:before="240" w:after="360" w:line="240" w:lineRule="auto"/>
    </w:pPr>
    <w:rPr>
      <w:rFonts w:ascii="Times New Roman" w:eastAsia="Times New Roman" w:hAnsi="Times New Roman" w:cs="Times New Roman"/>
      <w:color w:val="707070"/>
      <w:sz w:val="17"/>
      <w:szCs w:val="17"/>
      <w:lang w:eastAsia="en-AU"/>
    </w:rPr>
  </w:style>
  <w:style w:type="paragraph" w:customStyle="1" w:styleId="strapline1">
    <w:name w:val="strapline1"/>
    <w:basedOn w:val="Normal"/>
    <w:rsid w:val="00A058B4"/>
    <w:pPr>
      <w:spacing w:after="120" w:line="240" w:lineRule="auto"/>
    </w:pPr>
    <w:rPr>
      <w:rFonts w:ascii="Open Sans" w:eastAsia="Times New Roman" w:hAnsi="Open Sans" w:cs="Times New Roman"/>
      <w:color w:val="000000"/>
      <w:sz w:val="24"/>
      <w:szCs w:val="24"/>
      <w:lang w:eastAsia="en-AU"/>
    </w:rPr>
  </w:style>
  <w:style w:type="character" w:styleId="Hyperlink">
    <w:name w:val="Hyperlink"/>
    <w:basedOn w:val="DefaultParagraphFont"/>
    <w:uiPriority w:val="99"/>
    <w:unhideWhenUsed/>
    <w:rsid w:val="00A058B4"/>
    <w:rPr>
      <w:color w:val="0000FF" w:themeColor="hyperlink"/>
      <w:u w:val="single"/>
    </w:rPr>
  </w:style>
  <w:style w:type="paragraph" w:styleId="BalloonText">
    <w:name w:val="Balloon Text"/>
    <w:basedOn w:val="Normal"/>
    <w:link w:val="BalloonTextChar"/>
    <w:uiPriority w:val="99"/>
    <w:semiHidden/>
    <w:unhideWhenUsed/>
    <w:rsid w:val="00A0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8B4"/>
    <w:rPr>
      <w:rFonts w:ascii="Tahoma" w:hAnsi="Tahoma" w:cs="Tahoma"/>
      <w:sz w:val="16"/>
      <w:szCs w:val="16"/>
    </w:rPr>
  </w:style>
  <w:style w:type="character" w:styleId="UnresolvedMention">
    <w:name w:val="Unresolved Mention"/>
    <w:basedOn w:val="DefaultParagraphFont"/>
    <w:uiPriority w:val="99"/>
    <w:semiHidden/>
    <w:unhideWhenUsed/>
    <w:rsid w:val="00063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195261">
      <w:bodyDiv w:val="1"/>
      <w:marLeft w:val="0"/>
      <w:marRight w:val="0"/>
      <w:marTop w:val="0"/>
      <w:marBottom w:val="0"/>
      <w:divBdr>
        <w:top w:val="none" w:sz="0" w:space="0" w:color="auto"/>
        <w:left w:val="none" w:sz="0" w:space="0" w:color="auto"/>
        <w:bottom w:val="none" w:sz="0" w:space="0" w:color="auto"/>
        <w:right w:val="none" w:sz="0" w:space="0" w:color="auto"/>
      </w:divBdr>
      <w:divsChild>
        <w:div w:id="1803842798">
          <w:marLeft w:val="0"/>
          <w:marRight w:val="0"/>
          <w:marTop w:val="240"/>
          <w:marBottom w:val="480"/>
          <w:divBdr>
            <w:top w:val="none" w:sz="0" w:space="0" w:color="auto"/>
            <w:left w:val="none" w:sz="0" w:space="0" w:color="auto"/>
            <w:bottom w:val="none" w:sz="0" w:space="0" w:color="auto"/>
            <w:right w:val="none" w:sz="0" w:space="0" w:color="auto"/>
          </w:divBdr>
          <w:divsChild>
            <w:div w:id="343823762">
              <w:marLeft w:val="0"/>
              <w:marRight w:val="0"/>
              <w:marTop w:val="0"/>
              <w:marBottom w:val="0"/>
              <w:divBdr>
                <w:top w:val="none" w:sz="0" w:space="0" w:color="auto"/>
                <w:left w:val="none" w:sz="0" w:space="0" w:color="auto"/>
                <w:bottom w:val="none" w:sz="0" w:space="0" w:color="auto"/>
                <w:right w:val="none" w:sz="0" w:space="0" w:color="auto"/>
              </w:divBdr>
              <w:divsChild>
                <w:div w:id="1501117234">
                  <w:marLeft w:val="0"/>
                  <w:marRight w:val="0"/>
                  <w:marTop w:val="0"/>
                  <w:marBottom w:val="0"/>
                  <w:divBdr>
                    <w:top w:val="none" w:sz="0" w:space="0" w:color="auto"/>
                    <w:left w:val="none" w:sz="0" w:space="0" w:color="auto"/>
                    <w:bottom w:val="none" w:sz="0" w:space="0" w:color="auto"/>
                    <w:right w:val="none" w:sz="0" w:space="0" w:color="auto"/>
                  </w:divBdr>
                  <w:divsChild>
                    <w:div w:id="1988312971">
                      <w:marLeft w:val="0"/>
                      <w:marRight w:val="0"/>
                      <w:marTop w:val="0"/>
                      <w:marBottom w:val="0"/>
                      <w:divBdr>
                        <w:top w:val="none" w:sz="0" w:space="0" w:color="auto"/>
                        <w:left w:val="none" w:sz="0" w:space="0" w:color="auto"/>
                        <w:bottom w:val="none" w:sz="0" w:space="0" w:color="auto"/>
                        <w:right w:val="none" w:sz="0" w:space="0" w:color="auto"/>
                      </w:divBdr>
                      <w:divsChild>
                        <w:div w:id="1039354555">
                          <w:marLeft w:val="0"/>
                          <w:marRight w:val="0"/>
                          <w:marTop w:val="0"/>
                          <w:marBottom w:val="0"/>
                          <w:divBdr>
                            <w:top w:val="none" w:sz="0" w:space="0" w:color="auto"/>
                            <w:left w:val="none" w:sz="0" w:space="0" w:color="auto"/>
                            <w:bottom w:val="none" w:sz="0" w:space="0" w:color="auto"/>
                            <w:right w:val="none" w:sz="0" w:space="0" w:color="auto"/>
                          </w:divBdr>
                          <w:divsChild>
                            <w:div w:id="1865556744">
                              <w:marLeft w:val="0"/>
                              <w:marRight w:val="0"/>
                              <w:marTop w:val="0"/>
                              <w:marBottom w:val="0"/>
                              <w:divBdr>
                                <w:top w:val="none" w:sz="0" w:space="0" w:color="auto"/>
                                <w:left w:val="none" w:sz="0" w:space="0" w:color="auto"/>
                                <w:bottom w:val="none" w:sz="0" w:space="0" w:color="auto"/>
                                <w:right w:val="none" w:sz="0" w:space="0" w:color="auto"/>
                              </w:divBdr>
                              <w:divsChild>
                                <w:div w:id="13494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gov.au/" TargetMode="External"/><Relationship Id="rId3" Type="http://schemas.openxmlformats.org/officeDocument/2006/relationships/styles" Target="styles.xml"/><Relationship Id="rId7" Type="http://schemas.openxmlformats.org/officeDocument/2006/relationships/hyperlink" Target="mailto:corporate@canceraustralia.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mbudsman.gov.au/pages/p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A6AF2BB-97FC-4CD9-A1AC-8F123AAE125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Cancer Australia</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Trafford</dc:creator>
  <cp:lastModifiedBy>Jared Hilliers</cp:lastModifiedBy>
  <cp:revision>2</cp:revision>
  <dcterms:created xsi:type="dcterms:W3CDTF">2023-06-21T06:39:00Z</dcterms:created>
  <dcterms:modified xsi:type="dcterms:W3CDTF">2023-06-21T06:39:00Z</dcterms:modified>
</cp:coreProperties>
</file>